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E9" w:rsidRPr="008D3C1A" w:rsidRDefault="00D334E9" w:rsidP="001D0973">
      <w:pPr>
        <w:pStyle w:val="TtulodeTDC"/>
        <w:spacing w:after="120" w:line="360" w:lineRule="auto"/>
        <w:rPr>
          <w:sz w:val="22"/>
          <w:szCs w:val="22"/>
          <w:lang w:val="en-GB"/>
        </w:rPr>
      </w:pPr>
      <w:bookmarkStart w:id="0" w:name="_GoBack"/>
      <w:bookmarkEnd w:id="0"/>
    </w:p>
    <w:p w:rsidR="004F40C6" w:rsidRPr="008D3C1A" w:rsidRDefault="004F40C6" w:rsidP="004F40C6">
      <w:pPr>
        <w:spacing w:line="360" w:lineRule="auto"/>
        <w:jc w:val="center"/>
        <w:rPr>
          <w:b/>
          <w:sz w:val="32"/>
          <w:szCs w:val="32"/>
          <w:lang w:val="en-GB"/>
        </w:rPr>
      </w:pPr>
    </w:p>
    <w:p w:rsidR="00A647D4" w:rsidRPr="008D3C1A" w:rsidRDefault="006E5F39" w:rsidP="004F40C6">
      <w:pPr>
        <w:spacing w:line="360" w:lineRule="auto"/>
        <w:jc w:val="center"/>
        <w:rPr>
          <w:b/>
          <w:sz w:val="32"/>
          <w:szCs w:val="32"/>
          <w:lang w:val="en-GB"/>
        </w:rPr>
      </w:pPr>
      <w:r w:rsidRPr="008D3C1A">
        <w:rPr>
          <w:b/>
          <w:sz w:val="32"/>
          <w:szCs w:val="32"/>
          <w:lang w:val="en-GB"/>
        </w:rPr>
        <w:t>IS CHILE A MODEL FOR DEVELOPMENT?</w:t>
      </w:r>
      <w:r w:rsidR="005C4632" w:rsidRPr="008D3C1A">
        <w:rPr>
          <w:rStyle w:val="Refdenotaalpie"/>
          <w:b/>
          <w:sz w:val="32"/>
          <w:szCs w:val="32"/>
          <w:lang w:val="en-GB"/>
        </w:rPr>
        <w:footnoteReference w:customMarkFollows="1" w:id="2"/>
        <w:t>*</w:t>
      </w:r>
    </w:p>
    <w:p w:rsidR="004F40C6" w:rsidRPr="008D3C1A" w:rsidRDefault="004F40C6" w:rsidP="004F40C6">
      <w:pPr>
        <w:spacing w:line="360" w:lineRule="auto"/>
        <w:jc w:val="center"/>
        <w:rPr>
          <w:b/>
          <w:sz w:val="32"/>
          <w:szCs w:val="32"/>
          <w:lang w:val="en-GB"/>
        </w:rPr>
      </w:pPr>
    </w:p>
    <w:p w:rsidR="006E5F39" w:rsidRPr="008D3C1A" w:rsidRDefault="006E5F39" w:rsidP="002959AC">
      <w:pPr>
        <w:spacing w:line="360" w:lineRule="auto"/>
        <w:rPr>
          <w:sz w:val="22"/>
          <w:szCs w:val="22"/>
          <w:lang w:val="en-GB"/>
        </w:rPr>
      </w:pPr>
    </w:p>
    <w:p w:rsidR="004F40C6" w:rsidRPr="008D3C1A" w:rsidRDefault="004F40C6" w:rsidP="004F40C6">
      <w:pPr>
        <w:spacing w:line="480" w:lineRule="auto"/>
        <w:jc w:val="center"/>
        <w:rPr>
          <w:b/>
          <w:i/>
          <w:sz w:val="28"/>
          <w:szCs w:val="28"/>
          <w:lang w:val="en-GB"/>
        </w:rPr>
      </w:pPr>
      <w:r w:rsidRPr="008D3C1A">
        <w:rPr>
          <w:b/>
          <w:i/>
          <w:sz w:val="28"/>
          <w:szCs w:val="28"/>
          <w:lang w:val="en-GB"/>
        </w:rPr>
        <w:t>Ricardo Ffrench-Davis</w:t>
      </w:r>
      <w:r w:rsidR="00C41AB4">
        <w:rPr>
          <w:rStyle w:val="Refdenotaalpie"/>
          <w:b/>
          <w:i/>
          <w:sz w:val="28"/>
          <w:szCs w:val="28"/>
          <w:lang w:val="en-GB"/>
        </w:rPr>
        <w:footnoteReference w:customMarkFollows="1" w:id="3"/>
        <w:t>**</w:t>
      </w:r>
    </w:p>
    <w:p w:rsidR="004F40C6" w:rsidRPr="008D3C1A" w:rsidRDefault="004F40C6" w:rsidP="002959AC">
      <w:pPr>
        <w:spacing w:line="360" w:lineRule="auto"/>
        <w:rPr>
          <w:sz w:val="22"/>
          <w:szCs w:val="22"/>
          <w:lang w:val="en-GB"/>
        </w:rPr>
      </w:pPr>
    </w:p>
    <w:p w:rsidR="005C4632" w:rsidRPr="008D3C1A" w:rsidRDefault="006E5F39" w:rsidP="00007E54">
      <w:pPr>
        <w:spacing w:line="360" w:lineRule="auto"/>
        <w:jc w:val="center"/>
        <w:rPr>
          <w:b/>
          <w:sz w:val="22"/>
          <w:szCs w:val="22"/>
          <w:lang w:val="en-GB"/>
        </w:rPr>
      </w:pPr>
      <w:r w:rsidRPr="008D3C1A">
        <w:rPr>
          <w:sz w:val="22"/>
          <w:szCs w:val="22"/>
          <w:lang w:val="en-GB"/>
        </w:rPr>
        <w:tab/>
      </w:r>
      <w:r w:rsidR="005C4632" w:rsidRPr="008D3C1A">
        <w:rPr>
          <w:sz w:val="22"/>
          <w:szCs w:val="22"/>
          <w:lang w:val="en-GB"/>
        </w:rPr>
        <w:tab/>
      </w:r>
      <w:r w:rsidR="005C4632" w:rsidRPr="008D3C1A">
        <w:rPr>
          <w:sz w:val="22"/>
          <w:szCs w:val="22"/>
          <w:lang w:val="en-GB"/>
        </w:rPr>
        <w:tab/>
      </w:r>
      <w:r w:rsidR="005C4632" w:rsidRPr="008D3C1A">
        <w:rPr>
          <w:sz w:val="22"/>
          <w:szCs w:val="22"/>
          <w:lang w:val="en-GB"/>
        </w:rPr>
        <w:tab/>
      </w:r>
      <w:r w:rsidR="005C4632" w:rsidRPr="008D3C1A">
        <w:rPr>
          <w:sz w:val="22"/>
          <w:szCs w:val="22"/>
          <w:lang w:val="en-GB"/>
        </w:rPr>
        <w:tab/>
      </w:r>
      <w:r w:rsidR="00DB2E73" w:rsidRPr="008D3C1A">
        <w:rPr>
          <w:sz w:val="22"/>
          <w:szCs w:val="22"/>
          <w:lang w:val="en-GB"/>
        </w:rPr>
        <w:tab/>
      </w:r>
      <w:r w:rsidR="00DB2E73" w:rsidRPr="008D3C1A">
        <w:rPr>
          <w:sz w:val="22"/>
          <w:szCs w:val="22"/>
          <w:lang w:val="en-GB"/>
        </w:rPr>
        <w:tab/>
      </w:r>
      <w:r w:rsidR="00DB2E73" w:rsidRPr="008D3C1A">
        <w:rPr>
          <w:sz w:val="22"/>
          <w:szCs w:val="22"/>
          <w:lang w:val="en-GB"/>
        </w:rPr>
        <w:tab/>
      </w:r>
    </w:p>
    <w:p w:rsidR="00DB2E73" w:rsidRPr="008D3C1A" w:rsidRDefault="008847CD" w:rsidP="00007E54">
      <w:pPr>
        <w:spacing w:line="360" w:lineRule="auto"/>
        <w:jc w:val="center"/>
        <w:rPr>
          <w:b/>
          <w:i/>
          <w:sz w:val="22"/>
          <w:szCs w:val="22"/>
          <w:lang w:val="en-GB"/>
        </w:rPr>
      </w:pPr>
      <w:r w:rsidRPr="008D3C1A">
        <w:rPr>
          <w:b/>
          <w:i/>
          <w:sz w:val="22"/>
          <w:szCs w:val="22"/>
          <w:lang w:val="en-GB"/>
        </w:rPr>
        <w:t>Abstract</w:t>
      </w:r>
    </w:p>
    <w:p w:rsidR="00AC15A7" w:rsidRPr="008D3C1A" w:rsidRDefault="00AC15A7" w:rsidP="00007E54">
      <w:pPr>
        <w:spacing w:line="360" w:lineRule="auto"/>
        <w:jc w:val="center"/>
        <w:rPr>
          <w:b/>
          <w:i/>
          <w:sz w:val="22"/>
          <w:szCs w:val="22"/>
          <w:lang w:val="en-GB"/>
        </w:rPr>
      </w:pPr>
    </w:p>
    <w:p w:rsidR="00DF6774" w:rsidRPr="008D3C1A" w:rsidRDefault="00DF6774" w:rsidP="00007E54">
      <w:pPr>
        <w:spacing w:line="360" w:lineRule="auto"/>
        <w:jc w:val="both"/>
        <w:rPr>
          <w:i/>
          <w:sz w:val="22"/>
          <w:szCs w:val="22"/>
          <w:lang w:val="en-GB"/>
        </w:rPr>
      </w:pPr>
      <w:r w:rsidRPr="008D3C1A">
        <w:rPr>
          <w:i/>
          <w:sz w:val="22"/>
          <w:szCs w:val="22"/>
          <w:lang w:val="en-GB"/>
        </w:rPr>
        <w:t xml:space="preserve">The Chilean economy is usually highly praised </w:t>
      </w:r>
      <w:r w:rsidR="00C56932" w:rsidRPr="008D3C1A">
        <w:rPr>
          <w:i/>
          <w:sz w:val="22"/>
          <w:szCs w:val="22"/>
          <w:lang w:val="en-GB"/>
        </w:rPr>
        <w:t>as having been</w:t>
      </w:r>
      <w:r w:rsidR="00FB7048" w:rsidRPr="008D3C1A">
        <w:rPr>
          <w:i/>
          <w:sz w:val="22"/>
          <w:szCs w:val="22"/>
          <w:lang w:val="en-GB"/>
        </w:rPr>
        <w:t xml:space="preserve"> successful</w:t>
      </w:r>
      <w:r w:rsidRPr="008D3C1A">
        <w:rPr>
          <w:i/>
          <w:sz w:val="22"/>
          <w:szCs w:val="22"/>
          <w:lang w:val="en-GB"/>
        </w:rPr>
        <w:t xml:space="preserve"> since the imposition of neo</w:t>
      </w:r>
      <w:r w:rsidR="00EA5066" w:rsidRPr="008D3C1A">
        <w:rPr>
          <w:i/>
          <w:sz w:val="22"/>
          <w:szCs w:val="22"/>
          <w:lang w:val="en-GB"/>
        </w:rPr>
        <w:t>-liberal</w:t>
      </w:r>
      <w:r w:rsidRPr="008D3C1A">
        <w:rPr>
          <w:i/>
          <w:sz w:val="22"/>
          <w:szCs w:val="22"/>
          <w:lang w:val="en-GB"/>
        </w:rPr>
        <w:t xml:space="preserve"> reforms under the dictatorship of general Pinochet in 1973. </w:t>
      </w:r>
      <w:r w:rsidR="00C56932" w:rsidRPr="008D3C1A">
        <w:rPr>
          <w:i/>
          <w:sz w:val="22"/>
          <w:szCs w:val="22"/>
          <w:lang w:val="en-GB"/>
        </w:rPr>
        <w:t xml:space="preserve">However, </w:t>
      </w:r>
      <w:r w:rsidRPr="008D3C1A">
        <w:rPr>
          <w:i/>
          <w:sz w:val="22"/>
          <w:szCs w:val="22"/>
          <w:lang w:val="en-GB"/>
        </w:rPr>
        <w:t xml:space="preserve">the four decades that have elapsed include sub-periods with </w:t>
      </w:r>
      <w:r w:rsidR="003C5968" w:rsidRPr="008D3C1A">
        <w:rPr>
          <w:i/>
          <w:sz w:val="22"/>
          <w:szCs w:val="22"/>
          <w:lang w:val="en-GB"/>
        </w:rPr>
        <w:t xml:space="preserve">quite </w:t>
      </w:r>
      <w:r w:rsidRPr="008D3C1A">
        <w:rPr>
          <w:i/>
          <w:sz w:val="22"/>
          <w:szCs w:val="22"/>
          <w:lang w:val="en-GB"/>
        </w:rPr>
        <w:t>different policy approaches and notably diverse outcomes</w:t>
      </w:r>
      <w:r w:rsidR="00C56932" w:rsidRPr="008D3C1A">
        <w:rPr>
          <w:i/>
          <w:sz w:val="22"/>
          <w:szCs w:val="22"/>
          <w:lang w:val="en-GB"/>
        </w:rPr>
        <w:t>; thus,</w:t>
      </w:r>
      <w:r w:rsidR="00C56932" w:rsidRPr="008D3C1A">
        <w:rPr>
          <w:i/>
          <w:color w:val="000033"/>
          <w:sz w:val="22"/>
          <w:szCs w:val="22"/>
          <w:lang w:val="en-GB"/>
        </w:rPr>
        <w:t xml:space="preserve">there </w:t>
      </w:r>
      <w:r w:rsidRPr="008D3C1A">
        <w:rPr>
          <w:i/>
          <w:color w:val="000033"/>
          <w:sz w:val="22"/>
          <w:szCs w:val="22"/>
          <w:lang w:val="en-GB"/>
        </w:rPr>
        <w:t>is neither one unique model nor only one outcome.</w:t>
      </w:r>
      <w:r w:rsidRPr="008D3C1A">
        <w:rPr>
          <w:i/>
          <w:sz w:val="22"/>
          <w:szCs w:val="22"/>
          <w:lang w:val="en-GB"/>
        </w:rPr>
        <w:t xml:space="preserve"> The four decades</w:t>
      </w:r>
      <w:r w:rsidR="00C56932" w:rsidRPr="008D3C1A">
        <w:rPr>
          <w:i/>
          <w:sz w:val="22"/>
          <w:szCs w:val="22"/>
          <w:lang w:val="en-GB"/>
        </w:rPr>
        <w:t>’</w:t>
      </w:r>
      <w:r w:rsidRPr="008D3C1A">
        <w:rPr>
          <w:i/>
          <w:sz w:val="22"/>
          <w:szCs w:val="22"/>
          <w:lang w:val="en-GB"/>
        </w:rPr>
        <w:t xml:space="preserve"> growth is moderate,</w:t>
      </w:r>
      <w:r w:rsidR="00FB7048" w:rsidRPr="008D3C1A">
        <w:rPr>
          <w:i/>
          <w:sz w:val="22"/>
          <w:szCs w:val="22"/>
          <w:lang w:val="en-GB"/>
        </w:rPr>
        <w:t xml:space="preserve"> averaging 4.2</w:t>
      </w:r>
      <w:r w:rsidR="005024D3" w:rsidRPr="008D3C1A">
        <w:rPr>
          <w:i/>
          <w:sz w:val="22"/>
          <w:szCs w:val="22"/>
          <w:lang w:val="en-GB"/>
        </w:rPr>
        <w:t xml:space="preserve"> per cent</w:t>
      </w:r>
      <w:r w:rsidR="00FB7048" w:rsidRPr="008D3C1A">
        <w:rPr>
          <w:i/>
          <w:sz w:val="22"/>
          <w:szCs w:val="22"/>
          <w:lang w:val="en-GB"/>
        </w:rPr>
        <w:t xml:space="preserve"> per year</w:t>
      </w:r>
      <w:r w:rsidR="00C56932" w:rsidRPr="008D3C1A">
        <w:rPr>
          <w:i/>
          <w:sz w:val="22"/>
          <w:szCs w:val="22"/>
          <w:lang w:val="en-GB"/>
        </w:rPr>
        <w:t xml:space="preserve">:it averaged 2.9 per cent (meagre) </w:t>
      </w:r>
      <w:r w:rsidR="00FB7048" w:rsidRPr="008D3C1A">
        <w:rPr>
          <w:i/>
          <w:sz w:val="22"/>
          <w:szCs w:val="22"/>
          <w:lang w:val="en-GB"/>
        </w:rPr>
        <w:t>during the 16 years of dictatorship</w:t>
      </w:r>
      <w:r w:rsidR="00C56932" w:rsidRPr="008D3C1A">
        <w:rPr>
          <w:i/>
          <w:sz w:val="22"/>
          <w:szCs w:val="22"/>
          <w:lang w:val="en-GB"/>
        </w:rPr>
        <w:t xml:space="preserve"> and a good performance of 5.1 per cent during a quarter-</w:t>
      </w:r>
      <w:r w:rsidR="00FB7048" w:rsidRPr="008D3C1A">
        <w:rPr>
          <w:i/>
          <w:sz w:val="22"/>
          <w:szCs w:val="22"/>
          <w:lang w:val="en-GB"/>
        </w:rPr>
        <w:t xml:space="preserve">century of democracy, </w:t>
      </w:r>
      <w:r w:rsidR="00C56932" w:rsidRPr="008D3C1A">
        <w:rPr>
          <w:i/>
          <w:sz w:val="22"/>
          <w:szCs w:val="22"/>
          <w:lang w:val="en-GB"/>
        </w:rPr>
        <w:t>albeit with</w:t>
      </w:r>
      <w:r w:rsidR="00FB7048" w:rsidRPr="008D3C1A">
        <w:rPr>
          <w:i/>
          <w:sz w:val="22"/>
          <w:szCs w:val="22"/>
          <w:lang w:val="en-GB"/>
        </w:rPr>
        <w:t xml:space="preserve"> a vigorous 7.1</w:t>
      </w:r>
      <w:r w:rsidR="005024D3" w:rsidRPr="008D3C1A">
        <w:rPr>
          <w:i/>
          <w:sz w:val="22"/>
          <w:szCs w:val="22"/>
          <w:lang w:val="en-GB"/>
        </w:rPr>
        <w:t xml:space="preserve"> per cent</w:t>
      </w:r>
      <w:r w:rsidR="00FB7048" w:rsidRPr="008D3C1A">
        <w:rPr>
          <w:i/>
          <w:sz w:val="22"/>
          <w:szCs w:val="22"/>
          <w:lang w:val="en-GB"/>
        </w:rPr>
        <w:t xml:space="preserve"> in the </w:t>
      </w:r>
      <w:r w:rsidR="00C56932" w:rsidRPr="008D3C1A">
        <w:rPr>
          <w:i/>
          <w:sz w:val="22"/>
          <w:szCs w:val="22"/>
          <w:lang w:val="en-GB"/>
        </w:rPr>
        <w:t xml:space="preserve">initial </w:t>
      </w:r>
      <w:r w:rsidR="00FB7048" w:rsidRPr="008D3C1A">
        <w:rPr>
          <w:i/>
          <w:sz w:val="22"/>
          <w:szCs w:val="22"/>
          <w:lang w:val="en-GB"/>
        </w:rPr>
        <w:t>years (1990-98) and a modest 3.9</w:t>
      </w:r>
      <w:r w:rsidR="005024D3" w:rsidRPr="008D3C1A">
        <w:rPr>
          <w:i/>
          <w:sz w:val="22"/>
          <w:szCs w:val="22"/>
          <w:lang w:val="en-GB"/>
        </w:rPr>
        <w:t xml:space="preserve"> per cent</w:t>
      </w:r>
      <w:r w:rsidR="00FB7048" w:rsidRPr="008D3C1A">
        <w:rPr>
          <w:i/>
          <w:sz w:val="22"/>
          <w:szCs w:val="22"/>
          <w:lang w:val="en-GB"/>
        </w:rPr>
        <w:t xml:space="preserve"> in the </w:t>
      </w:r>
      <w:r w:rsidR="0079479F" w:rsidRPr="008D3C1A">
        <w:rPr>
          <w:i/>
          <w:sz w:val="22"/>
          <w:szCs w:val="22"/>
          <w:lang w:val="en-GB"/>
        </w:rPr>
        <w:t xml:space="preserve">last </w:t>
      </w:r>
      <w:r w:rsidR="00EA5066" w:rsidRPr="008D3C1A">
        <w:rPr>
          <w:i/>
          <w:sz w:val="22"/>
          <w:szCs w:val="22"/>
          <w:lang w:val="en-GB"/>
        </w:rPr>
        <w:t>15</w:t>
      </w:r>
      <w:r w:rsidR="00FB7048" w:rsidRPr="008D3C1A">
        <w:rPr>
          <w:i/>
          <w:sz w:val="22"/>
          <w:szCs w:val="22"/>
          <w:lang w:val="en-GB"/>
        </w:rPr>
        <w:t>years.</w:t>
      </w:r>
      <w:r w:rsidRPr="008D3C1A">
        <w:rPr>
          <w:i/>
          <w:sz w:val="22"/>
          <w:szCs w:val="22"/>
          <w:lang w:val="en-GB"/>
        </w:rPr>
        <w:t xml:space="preserve"> Sometimes</w:t>
      </w:r>
      <w:r w:rsidR="00C56932" w:rsidRPr="008D3C1A">
        <w:rPr>
          <w:i/>
          <w:sz w:val="22"/>
          <w:szCs w:val="22"/>
          <w:lang w:val="en-GB"/>
        </w:rPr>
        <w:t>,</w:t>
      </w:r>
      <w:r w:rsidR="0032590D" w:rsidRPr="008D3C1A">
        <w:rPr>
          <w:i/>
          <w:sz w:val="22"/>
          <w:szCs w:val="22"/>
          <w:lang w:val="en-GB"/>
        </w:rPr>
        <w:t xml:space="preserve">Chile </w:t>
      </w:r>
      <w:r w:rsidRPr="008D3C1A">
        <w:rPr>
          <w:i/>
          <w:sz w:val="22"/>
          <w:szCs w:val="22"/>
          <w:lang w:val="en-GB"/>
        </w:rPr>
        <w:t xml:space="preserve">has performed closer to </w:t>
      </w:r>
      <w:r w:rsidR="00C56932" w:rsidRPr="008D3C1A">
        <w:rPr>
          <w:i/>
          <w:sz w:val="22"/>
          <w:szCs w:val="22"/>
          <w:lang w:val="en-GB"/>
        </w:rPr>
        <w:t xml:space="preserve">becoming </w:t>
      </w:r>
      <w:r w:rsidRPr="008D3C1A">
        <w:rPr>
          <w:i/>
          <w:sz w:val="22"/>
          <w:szCs w:val="22"/>
          <w:lang w:val="en-GB"/>
        </w:rPr>
        <w:t xml:space="preserve">a “model” for development, </w:t>
      </w:r>
      <w:r w:rsidR="00C56932" w:rsidRPr="008D3C1A">
        <w:rPr>
          <w:i/>
          <w:sz w:val="22"/>
          <w:szCs w:val="22"/>
          <w:lang w:val="en-GB"/>
        </w:rPr>
        <w:t xml:space="preserve">and at other times </w:t>
      </w:r>
      <w:r w:rsidRPr="008D3C1A">
        <w:rPr>
          <w:i/>
          <w:sz w:val="22"/>
          <w:szCs w:val="22"/>
          <w:lang w:val="en-GB"/>
        </w:rPr>
        <w:t>the opposite</w:t>
      </w:r>
      <w:r w:rsidR="007B22E0" w:rsidRPr="008D3C1A">
        <w:rPr>
          <w:i/>
          <w:sz w:val="22"/>
          <w:szCs w:val="22"/>
          <w:lang w:val="en-GB"/>
        </w:rPr>
        <w:t xml:space="preserve"> or </w:t>
      </w:r>
      <w:r w:rsidR="00C56932" w:rsidRPr="008D3C1A">
        <w:rPr>
          <w:i/>
          <w:sz w:val="22"/>
          <w:szCs w:val="22"/>
          <w:lang w:val="en-GB"/>
        </w:rPr>
        <w:t>something in between</w:t>
      </w:r>
      <w:r w:rsidR="007B22E0" w:rsidRPr="008D3C1A">
        <w:rPr>
          <w:i/>
          <w:sz w:val="22"/>
          <w:szCs w:val="22"/>
          <w:lang w:val="en-GB"/>
        </w:rPr>
        <w:t>.</w:t>
      </w:r>
      <w:r w:rsidR="00FB7048" w:rsidRPr="008D3C1A">
        <w:rPr>
          <w:i/>
          <w:sz w:val="22"/>
          <w:szCs w:val="22"/>
          <w:lang w:val="en-GB"/>
        </w:rPr>
        <w:t xml:space="preserve"> Focusing </w:t>
      </w:r>
      <w:r w:rsidR="00C56932" w:rsidRPr="008D3C1A">
        <w:rPr>
          <w:i/>
          <w:sz w:val="22"/>
          <w:szCs w:val="22"/>
          <w:lang w:val="en-GB"/>
        </w:rPr>
        <w:t xml:space="preserve">on </w:t>
      </w:r>
      <w:r w:rsidR="003C5968" w:rsidRPr="008D3C1A">
        <w:rPr>
          <w:i/>
          <w:sz w:val="22"/>
          <w:szCs w:val="22"/>
          <w:lang w:val="en-GB"/>
        </w:rPr>
        <w:t>three</w:t>
      </w:r>
      <w:r w:rsidR="00FB7048" w:rsidRPr="008D3C1A">
        <w:rPr>
          <w:i/>
          <w:sz w:val="22"/>
          <w:szCs w:val="22"/>
          <w:lang w:val="en-GB"/>
        </w:rPr>
        <w:t xml:space="preserve"> episodes (1973</w:t>
      </w:r>
      <w:r w:rsidR="002959AC" w:rsidRPr="008D3C1A">
        <w:rPr>
          <w:i/>
          <w:sz w:val="22"/>
          <w:szCs w:val="22"/>
          <w:lang w:val="en-GB"/>
        </w:rPr>
        <w:t>–</w:t>
      </w:r>
      <w:r w:rsidR="00FB7048" w:rsidRPr="008D3C1A">
        <w:rPr>
          <w:i/>
          <w:sz w:val="22"/>
          <w:szCs w:val="22"/>
          <w:lang w:val="en-GB"/>
        </w:rPr>
        <w:t>81, 1990</w:t>
      </w:r>
      <w:r w:rsidR="002959AC" w:rsidRPr="008D3C1A">
        <w:rPr>
          <w:i/>
          <w:sz w:val="22"/>
          <w:szCs w:val="22"/>
          <w:lang w:val="en-GB"/>
        </w:rPr>
        <w:t>–</w:t>
      </w:r>
      <w:r w:rsidR="00FB7048" w:rsidRPr="008D3C1A">
        <w:rPr>
          <w:i/>
          <w:sz w:val="22"/>
          <w:szCs w:val="22"/>
          <w:lang w:val="en-GB"/>
        </w:rPr>
        <w:t>9</w:t>
      </w:r>
      <w:r w:rsidR="00083015" w:rsidRPr="008D3C1A">
        <w:rPr>
          <w:i/>
          <w:sz w:val="22"/>
          <w:szCs w:val="22"/>
          <w:lang w:val="en-GB"/>
        </w:rPr>
        <w:t>5</w:t>
      </w:r>
      <w:r w:rsidR="00FB7048" w:rsidRPr="008D3C1A">
        <w:rPr>
          <w:i/>
          <w:sz w:val="22"/>
          <w:szCs w:val="22"/>
          <w:lang w:val="en-GB"/>
        </w:rPr>
        <w:t xml:space="preserve"> and 200</w:t>
      </w:r>
      <w:r w:rsidR="00D00830" w:rsidRPr="008D3C1A">
        <w:rPr>
          <w:i/>
          <w:sz w:val="22"/>
          <w:szCs w:val="22"/>
          <w:lang w:val="en-GB"/>
        </w:rPr>
        <w:t>8</w:t>
      </w:r>
      <w:r w:rsidR="002959AC" w:rsidRPr="008D3C1A">
        <w:rPr>
          <w:i/>
          <w:sz w:val="22"/>
          <w:szCs w:val="22"/>
          <w:lang w:val="en-GB"/>
        </w:rPr>
        <w:t>–</w:t>
      </w:r>
      <w:r w:rsidR="00FB7048" w:rsidRPr="008D3C1A">
        <w:rPr>
          <w:i/>
          <w:sz w:val="22"/>
          <w:szCs w:val="22"/>
          <w:lang w:val="en-GB"/>
        </w:rPr>
        <w:t>13</w:t>
      </w:r>
      <w:r w:rsidR="006B0870" w:rsidRPr="008D3C1A">
        <w:rPr>
          <w:i/>
          <w:sz w:val="22"/>
          <w:szCs w:val="22"/>
          <w:lang w:val="en-GB"/>
        </w:rPr>
        <w:t>)</w:t>
      </w:r>
      <w:r w:rsidR="00FB7048" w:rsidRPr="008D3C1A">
        <w:rPr>
          <w:i/>
          <w:sz w:val="22"/>
          <w:szCs w:val="22"/>
          <w:lang w:val="en-GB"/>
        </w:rPr>
        <w:t>, we explore the underlying explanatory variables and some lessons for building “a model for development”.</w:t>
      </w:r>
    </w:p>
    <w:p w:rsidR="00D334E9" w:rsidRPr="008D3C1A" w:rsidRDefault="00D334E9" w:rsidP="00007E54">
      <w:pPr>
        <w:spacing w:line="360" w:lineRule="auto"/>
        <w:jc w:val="both"/>
        <w:rPr>
          <w:b/>
          <w:i/>
          <w:sz w:val="22"/>
          <w:szCs w:val="22"/>
          <w:lang w:val="en-GB"/>
        </w:rPr>
      </w:pPr>
    </w:p>
    <w:p w:rsidR="00C41AB4" w:rsidRDefault="00C41AB4" w:rsidP="00C41AB4">
      <w:pPr>
        <w:spacing w:line="480" w:lineRule="auto"/>
        <w:rPr>
          <w:b/>
          <w:sz w:val="28"/>
          <w:szCs w:val="28"/>
          <w:lang w:val="en-GB"/>
        </w:rPr>
      </w:pPr>
    </w:p>
    <w:p w:rsidR="001D0973" w:rsidRPr="008D3C1A" w:rsidRDefault="001D0973" w:rsidP="00C41AB4">
      <w:pPr>
        <w:spacing w:line="480" w:lineRule="auto"/>
        <w:rPr>
          <w:b/>
          <w:sz w:val="28"/>
          <w:szCs w:val="28"/>
          <w:lang w:val="en-GB"/>
        </w:rPr>
      </w:pPr>
    </w:p>
    <w:p w:rsidR="00AC15A7" w:rsidRPr="008D3C1A" w:rsidRDefault="00A752BC" w:rsidP="00A752BC">
      <w:pPr>
        <w:rPr>
          <w:sz w:val="28"/>
          <w:szCs w:val="28"/>
          <w:lang w:val="en-GB"/>
        </w:rPr>
      </w:pPr>
      <w:bookmarkStart w:id="1" w:name="_Toc401076028"/>
      <w:r>
        <w:rPr>
          <w:caps/>
          <w:sz w:val="22"/>
          <w:szCs w:val="22"/>
          <w:lang w:val="en-GB"/>
        </w:rPr>
        <w:tab/>
      </w:r>
      <w:r>
        <w:rPr>
          <w:caps/>
          <w:sz w:val="22"/>
          <w:szCs w:val="22"/>
          <w:lang w:val="en-GB"/>
        </w:rPr>
        <w:tab/>
      </w:r>
      <w:r>
        <w:rPr>
          <w:caps/>
          <w:sz w:val="22"/>
          <w:szCs w:val="22"/>
          <w:lang w:val="en-GB"/>
        </w:rPr>
        <w:tab/>
      </w:r>
      <w:r>
        <w:rPr>
          <w:caps/>
          <w:sz w:val="22"/>
          <w:szCs w:val="22"/>
          <w:lang w:val="en-GB"/>
        </w:rPr>
        <w:tab/>
      </w:r>
      <w:r w:rsidR="00AC15A7" w:rsidRPr="008D3C1A">
        <w:rPr>
          <w:sz w:val="28"/>
          <w:szCs w:val="28"/>
          <w:lang w:val="en-GB"/>
        </w:rPr>
        <w:t>Introduction</w:t>
      </w:r>
      <w:bookmarkEnd w:id="1"/>
    </w:p>
    <w:p w:rsidR="00AC15A7" w:rsidRPr="008D3C1A" w:rsidRDefault="00DB2E73" w:rsidP="00AC15A7">
      <w:pPr>
        <w:spacing w:after="120" w:line="360" w:lineRule="auto"/>
        <w:jc w:val="both"/>
        <w:rPr>
          <w:sz w:val="22"/>
          <w:szCs w:val="22"/>
          <w:lang w:val="en-GB"/>
        </w:rPr>
      </w:pPr>
      <w:r w:rsidRPr="008D3C1A">
        <w:rPr>
          <w:sz w:val="22"/>
          <w:szCs w:val="22"/>
          <w:lang w:val="en-GB"/>
        </w:rPr>
        <w:tab/>
      </w:r>
      <w:r w:rsidR="00FF1384" w:rsidRPr="008D3C1A">
        <w:rPr>
          <w:sz w:val="22"/>
          <w:szCs w:val="22"/>
          <w:lang w:val="en-GB"/>
        </w:rPr>
        <w:t>Th</w:t>
      </w:r>
      <w:r w:rsidR="0038690F" w:rsidRPr="008D3C1A">
        <w:rPr>
          <w:sz w:val="22"/>
          <w:szCs w:val="22"/>
          <w:lang w:val="en-GB"/>
        </w:rPr>
        <w:t xml:space="preserve">e Chilean economy is </w:t>
      </w:r>
      <w:r w:rsidR="00FF1384" w:rsidRPr="008D3C1A">
        <w:rPr>
          <w:sz w:val="22"/>
          <w:szCs w:val="22"/>
          <w:lang w:val="en-GB"/>
        </w:rPr>
        <w:t xml:space="preserve">usually </w:t>
      </w:r>
      <w:r w:rsidR="0038690F" w:rsidRPr="008D3C1A">
        <w:rPr>
          <w:sz w:val="22"/>
          <w:szCs w:val="22"/>
          <w:lang w:val="en-GB"/>
        </w:rPr>
        <w:t>highly praised by IFIs, diverse political authoriti</w:t>
      </w:r>
      <w:r w:rsidR="00FF1384" w:rsidRPr="008D3C1A">
        <w:rPr>
          <w:sz w:val="22"/>
          <w:szCs w:val="22"/>
          <w:lang w:val="en-GB"/>
        </w:rPr>
        <w:t xml:space="preserve">es and international analysts. </w:t>
      </w:r>
      <w:r w:rsidR="00C56932" w:rsidRPr="008D3C1A">
        <w:rPr>
          <w:sz w:val="22"/>
          <w:szCs w:val="22"/>
          <w:lang w:val="en-GB"/>
        </w:rPr>
        <w:t>A</w:t>
      </w:r>
      <w:r w:rsidR="00333DC7">
        <w:rPr>
          <w:sz w:val="22"/>
          <w:szCs w:val="22"/>
          <w:lang w:val="en-GB"/>
        </w:rPr>
        <w:t xml:space="preserve"> </w:t>
      </w:r>
      <w:r w:rsidR="00C56932" w:rsidRPr="008D3C1A">
        <w:rPr>
          <w:sz w:val="22"/>
          <w:szCs w:val="22"/>
          <w:lang w:val="en-GB"/>
        </w:rPr>
        <w:t xml:space="preserve">generalised </w:t>
      </w:r>
      <w:r w:rsidR="004036B9" w:rsidRPr="008D3C1A">
        <w:rPr>
          <w:sz w:val="22"/>
          <w:szCs w:val="22"/>
          <w:lang w:val="en-GB"/>
        </w:rPr>
        <w:t>view</w:t>
      </w:r>
      <w:r w:rsidR="00C56932" w:rsidRPr="008D3C1A">
        <w:rPr>
          <w:sz w:val="22"/>
          <w:szCs w:val="22"/>
          <w:lang w:val="en-GB"/>
        </w:rPr>
        <w:t xml:space="preserve"> prevails</w:t>
      </w:r>
      <w:r w:rsidR="0038690F" w:rsidRPr="008D3C1A">
        <w:rPr>
          <w:sz w:val="22"/>
          <w:szCs w:val="22"/>
          <w:lang w:val="en-GB"/>
        </w:rPr>
        <w:t xml:space="preserve"> that there </w:t>
      </w:r>
      <w:r w:rsidR="00C56932" w:rsidRPr="008D3C1A">
        <w:rPr>
          <w:sz w:val="22"/>
          <w:szCs w:val="22"/>
          <w:lang w:val="en-GB"/>
        </w:rPr>
        <w:t xml:space="preserve">has been </w:t>
      </w:r>
      <w:r w:rsidR="0038690F" w:rsidRPr="008D3C1A">
        <w:rPr>
          <w:sz w:val="22"/>
          <w:szCs w:val="22"/>
          <w:lang w:val="en-GB"/>
        </w:rPr>
        <w:t xml:space="preserve">“one” successful Chilean </w:t>
      </w:r>
      <w:r w:rsidR="0038690F" w:rsidRPr="008D3C1A">
        <w:rPr>
          <w:i/>
          <w:sz w:val="22"/>
          <w:szCs w:val="22"/>
          <w:lang w:val="en-GB"/>
        </w:rPr>
        <w:t>model</w:t>
      </w:r>
      <w:r w:rsidR="0038690F" w:rsidRPr="008D3C1A">
        <w:rPr>
          <w:sz w:val="22"/>
          <w:szCs w:val="22"/>
          <w:lang w:val="en-GB"/>
        </w:rPr>
        <w:t xml:space="preserve"> since the imposition of neo</w:t>
      </w:r>
      <w:r w:rsidR="00EA5066" w:rsidRPr="008D3C1A">
        <w:rPr>
          <w:sz w:val="22"/>
          <w:szCs w:val="22"/>
          <w:lang w:val="en-GB"/>
        </w:rPr>
        <w:t>-liberal</w:t>
      </w:r>
      <w:r w:rsidR="0038690F" w:rsidRPr="008D3C1A">
        <w:rPr>
          <w:sz w:val="22"/>
          <w:szCs w:val="22"/>
          <w:lang w:val="en-GB"/>
        </w:rPr>
        <w:t xml:space="preserve"> reforms under the di</w:t>
      </w:r>
      <w:r w:rsidR="00CE6A65" w:rsidRPr="008D3C1A">
        <w:rPr>
          <w:sz w:val="22"/>
          <w:szCs w:val="22"/>
          <w:lang w:val="en-GB"/>
        </w:rPr>
        <w:t xml:space="preserve">ctatorship of general Pinochet </w:t>
      </w:r>
      <w:r w:rsidR="0038690F" w:rsidRPr="008D3C1A">
        <w:rPr>
          <w:sz w:val="22"/>
          <w:szCs w:val="22"/>
          <w:lang w:val="en-GB"/>
        </w:rPr>
        <w:t xml:space="preserve">in 1973. </w:t>
      </w:r>
      <w:r w:rsidR="00C56932" w:rsidRPr="008D3C1A">
        <w:rPr>
          <w:sz w:val="22"/>
          <w:szCs w:val="22"/>
          <w:lang w:val="en-GB"/>
        </w:rPr>
        <w:t>However,</w:t>
      </w:r>
      <w:r w:rsidR="005C4632" w:rsidRPr="008D3C1A">
        <w:rPr>
          <w:sz w:val="22"/>
          <w:szCs w:val="22"/>
          <w:lang w:val="en-GB"/>
        </w:rPr>
        <w:t xml:space="preserve"> the four decades </w:t>
      </w:r>
      <w:r w:rsidR="00FF1384" w:rsidRPr="008D3C1A">
        <w:rPr>
          <w:sz w:val="22"/>
          <w:szCs w:val="22"/>
          <w:lang w:val="en-GB"/>
        </w:rPr>
        <w:t xml:space="preserve">that </w:t>
      </w:r>
      <w:r w:rsidR="00C56932" w:rsidRPr="008D3C1A">
        <w:rPr>
          <w:sz w:val="22"/>
          <w:szCs w:val="22"/>
          <w:lang w:val="en-GB"/>
        </w:rPr>
        <w:t xml:space="preserve">have subsequently </w:t>
      </w:r>
      <w:r w:rsidR="005C4632" w:rsidRPr="008D3C1A">
        <w:rPr>
          <w:sz w:val="22"/>
          <w:szCs w:val="22"/>
          <w:lang w:val="en-GB"/>
        </w:rPr>
        <w:t xml:space="preserve">elapsed include several sub-periods with different </w:t>
      </w:r>
      <w:r w:rsidR="0038690F" w:rsidRPr="008D3C1A">
        <w:rPr>
          <w:sz w:val="22"/>
          <w:szCs w:val="22"/>
          <w:lang w:val="en-GB"/>
        </w:rPr>
        <w:t xml:space="preserve">policy </w:t>
      </w:r>
      <w:r w:rsidR="005C4632" w:rsidRPr="008D3C1A">
        <w:rPr>
          <w:sz w:val="22"/>
          <w:szCs w:val="22"/>
          <w:lang w:val="en-GB"/>
        </w:rPr>
        <w:t>approaches</w:t>
      </w:r>
      <w:r w:rsidR="00F503FD" w:rsidRPr="008D3C1A">
        <w:rPr>
          <w:sz w:val="22"/>
          <w:szCs w:val="22"/>
          <w:lang w:val="en-GB"/>
        </w:rPr>
        <w:t xml:space="preserve"> and</w:t>
      </w:r>
      <w:r w:rsidR="005C4632" w:rsidRPr="008D3C1A">
        <w:rPr>
          <w:sz w:val="22"/>
          <w:szCs w:val="22"/>
          <w:lang w:val="en-GB"/>
        </w:rPr>
        <w:t xml:space="preserve"> external environments, </w:t>
      </w:r>
      <w:r w:rsidR="00C56932" w:rsidRPr="008D3C1A">
        <w:rPr>
          <w:sz w:val="22"/>
          <w:szCs w:val="22"/>
          <w:lang w:val="en-GB"/>
        </w:rPr>
        <w:t xml:space="preserve">as well as </w:t>
      </w:r>
      <w:r w:rsidR="005C4632" w:rsidRPr="008D3C1A">
        <w:rPr>
          <w:sz w:val="22"/>
          <w:szCs w:val="22"/>
          <w:lang w:val="en-GB"/>
        </w:rPr>
        <w:t xml:space="preserve">notably diverse economic and social outcomes. </w:t>
      </w:r>
      <w:r w:rsidR="00C56932" w:rsidRPr="008D3C1A">
        <w:rPr>
          <w:sz w:val="22"/>
          <w:szCs w:val="22"/>
          <w:lang w:val="en-GB"/>
        </w:rPr>
        <w:t xml:space="preserve">Accordingly, there </w:t>
      </w:r>
      <w:r w:rsidR="00080474" w:rsidRPr="008D3C1A">
        <w:rPr>
          <w:sz w:val="22"/>
          <w:szCs w:val="22"/>
          <w:lang w:val="en-GB"/>
        </w:rPr>
        <w:t xml:space="preserve">is neither one unique </w:t>
      </w:r>
      <w:r w:rsidR="00080474" w:rsidRPr="008D3C1A">
        <w:rPr>
          <w:i/>
          <w:sz w:val="22"/>
          <w:szCs w:val="22"/>
          <w:lang w:val="en-GB"/>
        </w:rPr>
        <w:t>model</w:t>
      </w:r>
      <w:r w:rsidR="00080474" w:rsidRPr="008D3C1A">
        <w:rPr>
          <w:sz w:val="22"/>
          <w:szCs w:val="22"/>
          <w:lang w:val="en-GB"/>
        </w:rPr>
        <w:t xml:space="preserve"> nor only one outcome. </w:t>
      </w:r>
      <w:r w:rsidR="0038690F" w:rsidRPr="008D3C1A">
        <w:rPr>
          <w:sz w:val="22"/>
          <w:szCs w:val="22"/>
          <w:lang w:val="en-GB"/>
        </w:rPr>
        <w:t>Sometimes</w:t>
      </w:r>
      <w:r w:rsidR="00C56932" w:rsidRPr="008D3C1A">
        <w:rPr>
          <w:sz w:val="22"/>
          <w:szCs w:val="22"/>
          <w:lang w:val="en-GB"/>
        </w:rPr>
        <w:t>,</w:t>
      </w:r>
      <w:r w:rsidR="006D10DD" w:rsidRPr="008D3C1A">
        <w:rPr>
          <w:sz w:val="22"/>
          <w:szCs w:val="22"/>
          <w:lang w:val="en-GB"/>
        </w:rPr>
        <w:t>Chile</w:t>
      </w:r>
      <w:r w:rsidR="00CE6A65" w:rsidRPr="008D3C1A">
        <w:rPr>
          <w:sz w:val="22"/>
          <w:szCs w:val="22"/>
          <w:lang w:val="en-GB"/>
        </w:rPr>
        <w:t xml:space="preserve">has performed </w:t>
      </w:r>
      <w:r w:rsidR="0038690F" w:rsidRPr="008D3C1A">
        <w:rPr>
          <w:sz w:val="22"/>
          <w:szCs w:val="22"/>
          <w:lang w:val="en-GB"/>
        </w:rPr>
        <w:t>close</w:t>
      </w:r>
      <w:r w:rsidR="00FF1384" w:rsidRPr="008D3C1A">
        <w:rPr>
          <w:sz w:val="22"/>
          <w:szCs w:val="22"/>
          <w:lang w:val="en-GB"/>
        </w:rPr>
        <w:t>r</w:t>
      </w:r>
      <w:r w:rsidR="0038690F" w:rsidRPr="008D3C1A">
        <w:rPr>
          <w:sz w:val="22"/>
          <w:szCs w:val="22"/>
          <w:lang w:val="en-GB"/>
        </w:rPr>
        <w:t xml:space="preserve"> to become a “model”</w:t>
      </w:r>
      <w:r w:rsidR="008A52AD" w:rsidRPr="008D3C1A">
        <w:rPr>
          <w:sz w:val="22"/>
          <w:szCs w:val="22"/>
          <w:lang w:val="en-GB"/>
        </w:rPr>
        <w:t xml:space="preserve"> for development</w:t>
      </w:r>
      <w:r w:rsidR="0038690F" w:rsidRPr="008D3C1A">
        <w:rPr>
          <w:sz w:val="22"/>
          <w:szCs w:val="22"/>
          <w:lang w:val="en-GB"/>
        </w:rPr>
        <w:t xml:space="preserve">, </w:t>
      </w:r>
      <w:r w:rsidR="00C56932" w:rsidRPr="008D3C1A">
        <w:rPr>
          <w:sz w:val="22"/>
          <w:szCs w:val="22"/>
          <w:lang w:val="en-GB"/>
        </w:rPr>
        <w:t xml:space="preserve">and at other times </w:t>
      </w:r>
      <w:r w:rsidR="0038690F" w:rsidRPr="008D3C1A">
        <w:rPr>
          <w:sz w:val="22"/>
          <w:szCs w:val="22"/>
          <w:lang w:val="en-GB"/>
        </w:rPr>
        <w:t xml:space="preserve">the opposite or </w:t>
      </w:r>
      <w:r w:rsidRPr="008D3C1A">
        <w:rPr>
          <w:sz w:val="22"/>
          <w:szCs w:val="22"/>
          <w:lang w:val="en-GB"/>
        </w:rPr>
        <w:t xml:space="preserve">something </w:t>
      </w:r>
      <w:r w:rsidR="0038690F" w:rsidRPr="008D3C1A">
        <w:rPr>
          <w:sz w:val="22"/>
          <w:szCs w:val="22"/>
          <w:lang w:val="en-GB"/>
        </w:rPr>
        <w:t>in between.</w:t>
      </w:r>
    </w:p>
    <w:p w:rsidR="00F503FD" w:rsidRPr="008D3C1A" w:rsidRDefault="00FF1384" w:rsidP="00AC15A7">
      <w:pPr>
        <w:spacing w:after="120" w:line="360" w:lineRule="auto"/>
        <w:ind w:firstLine="708"/>
        <w:jc w:val="both"/>
        <w:rPr>
          <w:sz w:val="22"/>
          <w:szCs w:val="22"/>
          <w:lang w:val="en-GB"/>
        </w:rPr>
      </w:pPr>
      <w:r w:rsidRPr="008D3C1A">
        <w:rPr>
          <w:sz w:val="22"/>
          <w:szCs w:val="22"/>
          <w:lang w:val="en-GB"/>
        </w:rPr>
        <w:t>Economic development at least includes the production of goods and services and its distribution</w:t>
      </w:r>
      <w:r w:rsidR="00DA5AF8" w:rsidRPr="008D3C1A">
        <w:rPr>
          <w:sz w:val="22"/>
          <w:szCs w:val="22"/>
          <w:lang w:val="en-GB"/>
        </w:rPr>
        <w:t xml:space="preserve"> among citizens. </w:t>
      </w:r>
      <w:r w:rsidR="00C56932" w:rsidRPr="008D3C1A">
        <w:rPr>
          <w:sz w:val="22"/>
          <w:szCs w:val="22"/>
          <w:lang w:val="en-GB"/>
        </w:rPr>
        <w:t xml:space="preserve">Accordingly, we </w:t>
      </w:r>
      <w:r w:rsidR="00DA5AF8" w:rsidRPr="008D3C1A">
        <w:rPr>
          <w:sz w:val="22"/>
          <w:szCs w:val="22"/>
          <w:lang w:val="en-GB"/>
        </w:rPr>
        <w:t xml:space="preserve">will </w:t>
      </w:r>
      <w:r w:rsidR="00C56932" w:rsidRPr="008D3C1A">
        <w:rPr>
          <w:sz w:val="22"/>
          <w:szCs w:val="22"/>
          <w:lang w:val="en-GB"/>
        </w:rPr>
        <w:t>explore</w:t>
      </w:r>
      <w:r w:rsidR="00DA5AF8" w:rsidRPr="008D3C1A">
        <w:rPr>
          <w:sz w:val="22"/>
          <w:szCs w:val="22"/>
          <w:lang w:val="en-GB"/>
        </w:rPr>
        <w:t xml:space="preserve"> how both </w:t>
      </w:r>
      <w:r w:rsidR="00C56932" w:rsidRPr="008D3C1A">
        <w:rPr>
          <w:sz w:val="22"/>
          <w:szCs w:val="22"/>
          <w:lang w:val="en-GB"/>
        </w:rPr>
        <w:t xml:space="preserve">have </w:t>
      </w:r>
      <w:r w:rsidR="00DA5AF8" w:rsidRPr="008D3C1A">
        <w:rPr>
          <w:sz w:val="22"/>
          <w:szCs w:val="22"/>
          <w:lang w:val="en-GB"/>
        </w:rPr>
        <w:t>evolved along the four decades</w:t>
      </w:r>
      <w:r w:rsidR="00C56932" w:rsidRPr="008D3C1A">
        <w:rPr>
          <w:sz w:val="22"/>
          <w:szCs w:val="22"/>
          <w:lang w:val="en-GB"/>
        </w:rPr>
        <w:t>, given that a</w:t>
      </w:r>
      <w:r w:rsidR="00DA5AF8" w:rsidRPr="008D3C1A">
        <w:rPr>
          <w:sz w:val="22"/>
          <w:szCs w:val="22"/>
          <w:lang w:val="en-GB"/>
        </w:rPr>
        <w:t xml:space="preserve"> rolemodel case should be consistently achieving success </w:t>
      </w:r>
      <w:r w:rsidR="00C56932" w:rsidRPr="008D3C1A">
        <w:rPr>
          <w:sz w:val="22"/>
          <w:szCs w:val="22"/>
          <w:lang w:val="en-GB"/>
        </w:rPr>
        <w:t>in terms of both</w:t>
      </w:r>
      <w:r w:rsidR="00DF6774" w:rsidRPr="008D3C1A">
        <w:rPr>
          <w:sz w:val="22"/>
          <w:szCs w:val="22"/>
          <w:lang w:val="en-GB"/>
        </w:rPr>
        <w:t xml:space="preserve"> economic growth and its distribution</w:t>
      </w:r>
      <w:r w:rsidR="00DA5AF8" w:rsidRPr="008D3C1A">
        <w:rPr>
          <w:sz w:val="22"/>
          <w:szCs w:val="22"/>
          <w:lang w:val="en-GB"/>
        </w:rPr>
        <w:t>.</w:t>
      </w:r>
    </w:p>
    <w:p w:rsidR="00DB2E73" w:rsidRPr="008D3C1A" w:rsidRDefault="0038690F" w:rsidP="00AC15A7">
      <w:pPr>
        <w:spacing w:line="360" w:lineRule="auto"/>
        <w:jc w:val="both"/>
        <w:rPr>
          <w:sz w:val="22"/>
          <w:szCs w:val="22"/>
          <w:lang w:val="en-GB"/>
        </w:rPr>
      </w:pPr>
      <w:r w:rsidRPr="008D3C1A">
        <w:rPr>
          <w:sz w:val="22"/>
          <w:szCs w:val="22"/>
          <w:lang w:val="en-GB"/>
        </w:rPr>
        <w:tab/>
        <w:t xml:space="preserve">In </w:t>
      </w:r>
      <w:r w:rsidR="00DB2E73" w:rsidRPr="008D3C1A">
        <w:rPr>
          <w:sz w:val="22"/>
          <w:szCs w:val="22"/>
          <w:lang w:val="en-GB"/>
        </w:rPr>
        <w:t>section I</w:t>
      </w:r>
      <w:r w:rsidR="00C56932" w:rsidRPr="008D3C1A">
        <w:rPr>
          <w:sz w:val="22"/>
          <w:szCs w:val="22"/>
          <w:lang w:val="en-GB"/>
        </w:rPr>
        <w:t>,</w:t>
      </w:r>
      <w:r w:rsidR="00DB2E73" w:rsidRPr="008D3C1A">
        <w:rPr>
          <w:sz w:val="22"/>
          <w:szCs w:val="22"/>
          <w:lang w:val="en-GB"/>
        </w:rPr>
        <w:t xml:space="preserve"> a summary evaluation is presented of policies and outcomes during the fo</w:t>
      </w:r>
      <w:r w:rsidR="00CE6A65" w:rsidRPr="008D3C1A">
        <w:rPr>
          <w:sz w:val="22"/>
          <w:szCs w:val="22"/>
          <w:lang w:val="en-GB"/>
        </w:rPr>
        <w:t>ur decades. Section II focuses o</w:t>
      </w:r>
      <w:r w:rsidR="00DB2E73" w:rsidRPr="008D3C1A">
        <w:rPr>
          <w:sz w:val="22"/>
          <w:szCs w:val="22"/>
          <w:lang w:val="en-GB"/>
        </w:rPr>
        <w:t>n three episodes</w:t>
      </w:r>
      <w:r w:rsidR="00C56932" w:rsidRPr="008D3C1A">
        <w:rPr>
          <w:sz w:val="22"/>
          <w:szCs w:val="22"/>
          <w:lang w:val="en-GB"/>
        </w:rPr>
        <w:t xml:space="preserve">:one </w:t>
      </w:r>
      <w:r w:rsidR="00FB7048" w:rsidRPr="008D3C1A">
        <w:rPr>
          <w:sz w:val="22"/>
          <w:szCs w:val="22"/>
          <w:lang w:val="en-GB"/>
        </w:rPr>
        <w:t>corresponds</w:t>
      </w:r>
      <w:r w:rsidR="00DA5AF8" w:rsidRPr="008D3C1A">
        <w:rPr>
          <w:sz w:val="22"/>
          <w:szCs w:val="22"/>
          <w:lang w:val="en-GB"/>
        </w:rPr>
        <w:t xml:space="preserve"> t</w:t>
      </w:r>
      <w:r w:rsidR="00DB2E73" w:rsidRPr="008D3C1A">
        <w:rPr>
          <w:sz w:val="22"/>
          <w:szCs w:val="22"/>
          <w:lang w:val="en-GB"/>
        </w:rPr>
        <w:t xml:space="preserve">o the first half </w:t>
      </w:r>
      <w:r w:rsidR="00DA5AF8" w:rsidRPr="008D3C1A">
        <w:rPr>
          <w:sz w:val="22"/>
          <w:szCs w:val="22"/>
          <w:lang w:val="en-GB"/>
        </w:rPr>
        <w:t>of the dictatorship, in 1973</w:t>
      </w:r>
      <w:r w:rsidR="00D432D4" w:rsidRPr="008D3C1A">
        <w:rPr>
          <w:sz w:val="22"/>
          <w:szCs w:val="22"/>
          <w:lang w:val="en-GB"/>
        </w:rPr>
        <w:t>–</w:t>
      </w:r>
      <w:r w:rsidR="00DA5AF8" w:rsidRPr="008D3C1A">
        <w:rPr>
          <w:sz w:val="22"/>
          <w:szCs w:val="22"/>
          <w:lang w:val="en-GB"/>
        </w:rPr>
        <w:t>81; a</w:t>
      </w:r>
      <w:r w:rsidR="00DB2E73" w:rsidRPr="008D3C1A">
        <w:rPr>
          <w:sz w:val="22"/>
          <w:szCs w:val="22"/>
          <w:lang w:val="en-GB"/>
        </w:rPr>
        <w:t xml:space="preserve"> second</w:t>
      </w:r>
      <w:r w:rsidR="00DA5AF8" w:rsidRPr="008D3C1A">
        <w:rPr>
          <w:sz w:val="22"/>
          <w:szCs w:val="22"/>
          <w:lang w:val="en-GB"/>
        </w:rPr>
        <w:t xml:space="preserve"> one</w:t>
      </w:r>
      <w:r w:rsidR="00DB2E73" w:rsidRPr="008D3C1A">
        <w:rPr>
          <w:sz w:val="22"/>
          <w:szCs w:val="22"/>
          <w:lang w:val="en-GB"/>
        </w:rPr>
        <w:t xml:space="preserve"> during the first years of return to democracy, </w:t>
      </w:r>
      <w:r w:rsidR="00C56932" w:rsidRPr="008D3C1A">
        <w:rPr>
          <w:sz w:val="22"/>
          <w:szCs w:val="22"/>
          <w:lang w:val="en-GB"/>
        </w:rPr>
        <w:t xml:space="preserve">namely </w:t>
      </w:r>
      <w:r w:rsidR="00DB2E73" w:rsidRPr="008D3C1A">
        <w:rPr>
          <w:sz w:val="22"/>
          <w:szCs w:val="22"/>
          <w:lang w:val="en-GB"/>
        </w:rPr>
        <w:t>1990</w:t>
      </w:r>
      <w:r w:rsidR="00D432D4" w:rsidRPr="008D3C1A">
        <w:rPr>
          <w:sz w:val="22"/>
          <w:szCs w:val="22"/>
          <w:lang w:val="en-GB"/>
        </w:rPr>
        <w:t>–</w:t>
      </w:r>
      <w:r w:rsidR="00DB2E73" w:rsidRPr="008D3C1A">
        <w:rPr>
          <w:sz w:val="22"/>
          <w:szCs w:val="22"/>
          <w:lang w:val="en-GB"/>
        </w:rPr>
        <w:t>9</w:t>
      </w:r>
      <w:r w:rsidR="00083015" w:rsidRPr="008D3C1A">
        <w:rPr>
          <w:sz w:val="22"/>
          <w:szCs w:val="22"/>
          <w:lang w:val="en-GB"/>
        </w:rPr>
        <w:t>5</w:t>
      </w:r>
      <w:r w:rsidR="00C56932" w:rsidRPr="008D3C1A">
        <w:rPr>
          <w:sz w:val="22"/>
          <w:szCs w:val="22"/>
          <w:lang w:val="en-GB"/>
        </w:rPr>
        <w:t>;</w:t>
      </w:r>
      <w:r w:rsidR="00DB2E73" w:rsidRPr="008D3C1A">
        <w:rPr>
          <w:sz w:val="22"/>
          <w:szCs w:val="22"/>
          <w:lang w:val="en-GB"/>
        </w:rPr>
        <w:t xml:space="preserve"> and </w:t>
      </w:r>
      <w:r w:rsidR="00C56932" w:rsidRPr="008D3C1A">
        <w:rPr>
          <w:sz w:val="22"/>
          <w:szCs w:val="22"/>
          <w:lang w:val="en-GB"/>
        </w:rPr>
        <w:t>finally</w:t>
      </w:r>
      <w:r w:rsidR="00DB2E73" w:rsidRPr="008D3C1A">
        <w:rPr>
          <w:sz w:val="22"/>
          <w:szCs w:val="22"/>
          <w:lang w:val="en-GB"/>
        </w:rPr>
        <w:t xml:space="preserve"> the period since the contagion of the global crisis, 200</w:t>
      </w:r>
      <w:r w:rsidR="00DF6774" w:rsidRPr="008D3C1A">
        <w:rPr>
          <w:sz w:val="22"/>
          <w:szCs w:val="22"/>
          <w:lang w:val="en-GB"/>
        </w:rPr>
        <w:t>8</w:t>
      </w:r>
      <w:r w:rsidR="00D432D4" w:rsidRPr="008D3C1A">
        <w:rPr>
          <w:sz w:val="22"/>
          <w:szCs w:val="22"/>
          <w:lang w:val="en-GB"/>
        </w:rPr>
        <w:t>–</w:t>
      </w:r>
      <w:r w:rsidR="00DB2E73" w:rsidRPr="008D3C1A">
        <w:rPr>
          <w:sz w:val="22"/>
          <w:szCs w:val="22"/>
          <w:lang w:val="en-GB"/>
        </w:rPr>
        <w:t>13.</w:t>
      </w:r>
      <w:r w:rsidR="00CF7009" w:rsidRPr="008D3C1A">
        <w:rPr>
          <w:sz w:val="22"/>
          <w:szCs w:val="22"/>
          <w:lang w:val="en-GB"/>
        </w:rPr>
        <w:t xml:space="preserve"> Section III concludes.</w:t>
      </w:r>
    </w:p>
    <w:p w:rsidR="00DF6774" w:rsidRPr="008D3C1A" w:rsidRDefault="00DF6774" w:rsidP="00AC15A7">
      <w:pPr>
        <w:pStyle w:val="Prrafodelista"/>
        <w:spacing w:line="360" w:lineRule="auto"/>
        <w:ind w:left="1080"/>
        <w:rPr>
          <w:b/>
          <w:sz w:val="22"/>
          <w:szCs w:val="22"/>
          <w:lang w:val="en-GB"/>
        </w:rPr>
      </w:pPr>
    </w:p>
    <w:p w:rsidR="0038690F" w:rsidRPr="008D3C1A" w:rsidRDefault="00DB2E73" w:rsidP="004E552D">
      <w:pPr>
        <w:pStyle w:val="Prrafodelista"/>
        <w:numPr>
          <w:ilvl w:val="0"/>
          <w:numId w:val="1"/>
        </w:numPr>
        <w:spacing w:after="120" w:line="360" w:lineRule="auto"/>
        <w:ind w:left="720"/>
        <w:jc w:val="center"/>
        <w:outlineLvl w:val="0"/>
        <w:rPr>
          <w:b/>
          <w:sz w:val="28"/>
          <w:szCs w:val="28"/>
          <w:lang w:val="en-GB"/>
        </w:rPr>
      </w:pPr>
      <w:bookmarkStart w:id="2" w:name="_Toc401076029"/>
      <w:r w:rsidRPr="008D3C1A">
        <w:rPr>
          <w:b/>
          <w:sz w:val="28"/>
          <w:szCs w:val="28"/>
          <w:lang w:val="en-GB"/>
        </w:rPr>
        <w:t xml:space="preserve">An </w:t>
      </w:r>
      <w:r w:rsidR="00045A06">
        <w:rPr>
          <w:b/>
          <w:sz w:val="28"/>
          <w:szCs w:val="28"/>
          <w:lang w:val="en-GB"/>
        </w:rPr>
        <w:t>O</w:t>
      </w:r>
      <w:r w:rsidRPr="008D3C1A">
        <w:rPr>
          <w:b/>
          <w:sz w:val="28"/>
          <w:szCs w:val="28"/>
          <w:lang w:val="en-GB"/>
        </w:rPr>
        <w:t xml:space="preserve">verview </w:t>
      </w:r>
      <w:r w:rsidR="00045A06">
        <w:rPr>
          <w:b/>
          <w:sz w:val="28"/>
          <w:szCs w:val="28"/>
          <w:lang w:val="en-GB"/>
        </w:rPr>
        <w:t>O</w:t>
      </w:r>
      <w:r w:rsidRPr="008D3C1A">
        <w:rPr>
          <w:b/>
          <w:sz w:val="28"/>
          <w:szCs w:val="28"/>
          <w:lang w:val="en-GB"/>
        </w:rPr>
        <w:t xml:space="preserve">f </w:t>
      </w:r>
      <w:r w:rsidR="00045A06">
        <w:rPr>
          <w:b/>
          <w:sz w:val="28"/>
          <w:szCs w:val="28"/>
          <w:lang w:val="en-GB"/>
        </w:rPr>
        <w:t>F</w:t>
      </w:r>
      <w:r w:rsidRPr="008D3C1A">
        <w:rPr>
          <w:b/>
          <w:sz w:val="28"/>
          <w:szCs w:val="28"/>
          <w:lang w:val="en-GB"/>
        </w:rPr>
        <w:t xml:space="preserve">our </w:t>
      </w:r>
      <w:r w:rsidR="00045A06">
        <w:rPr>
          <w:b/>
          <w:sz w:val="28"/>
          <w:szCs w:val="28"/>
          <w:lang w:val="en-GB"/>
        </w:rPr>
        <w:t>D</w:t>
      </w:r>
      <w:r w:rsidRPr="008D3C1A">
        <w:rPr>
          <w:b/>
          <w:sz w:val="28"/>
          <w:szCs w:val="28"/>
          <w:lang w:val="en-GB"/>
        </w:rPr>
        <w:t>ecades</w:t>
      </w:r>
      <w:bookmarkEnd w:id="2"/>
    </w:p>
    <w:p w:rsidR="003A217D" w:rsidRPr="008D3C1A" w:rsidRDefault="005C4632" w:rsidP="00AC15A7">
      <w:pPr>
        <w:spacing w:after="120" w:line="360" w:lineRule="auto"/>
        <w:jc w:val="both"/>
        <w:rPr>
          <w:sz w:val="22"/>
          <w:szCs w:val="22"/>
          <w:lang w:val="en-GB"/>
        </w:rPr>
      </w:pPr>
      <w:r w:rsidRPr="008D3C1A">
        <w:rPr>
          <w:sz w:val="22"/>
          <w:szCs w:val="22"/>
          <w:lang w:val="en-GB"/>
        </w:rPr>
        <w:tab/>
      </w:r>
      <w:r w:rsidR="003A217D" w:rsidRPr="008D3C1A">
        <w:rPr>
          <w:sz w:val="22"/>
          <w:szCs w:val="22"/>
          <w:lang w:val="en-GB"/>
        </w:rPr>
        <w:t>In the five governments under democracy</w:t>
      </w:r>
      <w:r w:rsidR="0070213E" w:rsidRPr="008D3C1A">
        <w:rPr>
          <w:sz w:val="22"/>
          <w:szCs w:val="22"/>
          <w:lang w:val="en-GB"/>
        </w:rPr>
        <w:t xml:space="preserve"> (1990</w:t>
      </w:r>
      <w:r w:rsidR="00D432D4" w:rsidRPr="008D3C1A">
        <w:rPr>
          <w:sz w:val="22"/>
          <w:szCs w:val="22"/>
          <w:lang w:val="en-GB"/>
        </w:rPr>
        <w:t>–</w:t>
      </w:r>
      <w:r w:rsidR="0070213E" w:rsidRPr="008D3C1A">
        <w:rPr>
          <w:sz w:val="22"/>
          <w:szCs w:val="22"/>
          <w:lang w:val="en-GB"/>
        </w:rPr>
        <w:t>2013)</w:t>
      </w:r>
      <w:r w:rsidR="003A217D" w:rsidRPr="008D3C1A">
        <w:rPr>
          <w:sz w:val="22"/>
          <w:szCs w:val="22"/>
          <w:lang w:val="en-GB"/>
        </w:rPr>
        <w:t xml:space="preserve">, </w:t>
      </w:r>
      <w:r w:rsidR="00083015" w:rsidRPr="008D3C1A">
        <w:rPr>
          <w:sz w:val="22"/>
          <w:szCs w:val="22"/>
          <w:lang w:val="en-GB"/>
        </w:rPr>
        <w:t xml:space="preserve">industrial or </w:t>
      </w:r>
      <w:r w:rsidR="003A217D" w:rsidRPr="008D3C1A">
        <w:rPr>
          <w:sz w:val="22"/>
          <w:szCs w:val="22"/>
          <w:lang w:val="en-GB"/>
        </w:rPr>
        <w:t xml:space="preserve">productive development policies have been </w:t>
      </w:r>
      <w:r w:rsidR="00C56932" w:rsidRPr="008D3C1A">
        <w:rPr>
          <w:sz w:val="22"/>
          <w:szCs w:val="22"/>
          <w:lang w:val="en-GB"/>
        </w:rPr>
        <w:t xml:space="preserve">largely </w:t>
      </w:r>
      <w:r w:rsidR="003A217D" w:rsidRPr="008D3C1A">
        <w:rPr>
          <w:sz w:val="22"/>
          <w:szCs w:val="22"/>
          <w:lang w:val="en-GB"/>
        </w:rPr>
        <w:t>absent</w:t>
      </w:r>
      <w:r w:rsidR="00C56932" w:rsidRPr="008D3C1A">
        <w:rPr>
          <w:sz w:val="22"/>
          <w:szCs w:val="22"/>
          <w:lang w:val="en-GB"/>
        </w:rPr>
        <w:t>,</w:t>
      </w:r>
      <w:r w:rsidR="003A217D" w:rsidRPr="008D3C1A">
        <w:rPr>
          <w:sz w:val="22"/>
          <w:szCs w:val="22"/>
          <w:lang w:val="en-GB"/>
        </w:rPr>
        <w:t xml:space="preserve"> as they </w:t>
      </w:r>
      <w:r w:rsidR="00C56932" w:rsidRPr="008D3C1A">
        <w:rPr>
          <w:sz w:val="22"/>
          <w:szCs w:val="22"/>
          <w:lang w:val="en-GB"/>
        </w:rPr>
        <w:t xml:space="preserve">had been </w:t>
      </w:r>
      <w:r w:rsidR="003A217D" w:rsidRPr="008D3C1A">
        <w:rPr>
          <w:sz w:val="22"/>
          <w:szCs w:val="22"/>
          <w:lang w:val="en-GB"/>
        </w:rPr>
        <w:t>under the dictatorship</w:t>
      </w:r>
      <w:r w:rsidR="00E1167D">
        <w:rPr>
          <w:sz w:val="22"/>
          <w:szCs w:val="22"/>
          <w:lang w:val="en-GB"/>
        </w:rPr>
        <w:t>;</w:t>
      </w:r>
      <w:r w:rsidR="008D303D" w:rsidRPr="008D3C1A">
        <w:rPr>
          <w:sz w:val="22"/>
          <w:szCs w:val="22"/>
          <w:lang w:val="en-GB"/>
        </w:rPr>
        <w:t>the Pino</w:t>
      </w:r>
      <w:r w:rsidR="0070213E" w:rsidRPr="008D3C1A">
        <w:rPr>
          <w:sz w:val="22"/>
          <w:szCs w:val="22"/>
          <w:lang w:val="en-GB"/>
        </w:rPr>
        <w:t xml:space="preserve">chet </w:t>
      </w:r>
      <w:r w:rsidR="008D303D" w:rsidRPr="008D3C1A">
        <w:rPr>
          <w:sz w:val="22"/>
          <w:szCs w:val="22"/>
          <w:lang w:val="en-GB"/>
        </w:rPr>
        <w:t>dictatorship</w:t>
      </w:r>
      <w:r w:rsidR="00C56932" w:rsidRPr="008D3C1A">
        <w:rPr>
          <w:sz w:val="22"/>
          <w:szCs w:val="22"/>
          <w:lang w:val="en-GB"/>
        </w:rPr>
        <w:t>ha</w:t>
      </w:r>
      <w:r w:rsidR="00E1167D">
        <w:rPr>
          <w:sz w:val="22"/>
          <w:szCs w:val="22"/>
          <w:lang w:val="en-GB"/>
        </w:rPr>
        <w:t>d</w:t>
      </w:r>
      <w:r w:rsidR="0070213E" w:rsidRPr="008D3C1A">
        <w:rPr>
          <w:sz w:val="22"/>
          <w:szCs w:val="22"/>
          <w:lang w:val="en-GB"/>
        </w:rPr>
        <w:t>eliminated most of them</w:t>
      </w:r>
      <w:r w:rsidR="00083015" w:rsidRPr="008D3C1A">
        <w:rPr>
          <w:sz w:val="22"/>
          <w:szCs w:val="22"/>
          <w:lang w:val="en-GB"/>
        </w:rPr>
        <w:t xml:space="preserve"> in the early years of his regime</w:t>
      </w:r>
      <w:r w:rsidR="0070213E" w:rsidRPr="008D3C1A">
        <w:rPr>
          <w:sz w:val="22"/>
          <w:szCs w:val="22"/>
          <w:lang w:val="en-GB"/>
        </w:rPr>
        <w:t>. On the contrary,</w:t>
      </w:r>
      <w:r w:rsidR="003A217D" w:rsidRPr="008D3C1A">
        <w:rPr>
          <w:sz w:val="22"/>
          <w:szCs w:val="22"/>
          <w:lang w:val="en-GB"/>
        </w:rPr>
        <w:t xml:space="preserve"> macroeconomic and social policies have </w:t>
      </w:r>
      <w:r w:rsidR="00C56932" w:rsidRPr="008D3C1A">
        <w:rPr>
          <w:sz w:val="22"/>
          <w:szCs w:val="22"/>
          <w:lang w:val="en-GB"/>
        </w:rPr>
        <w:t xml:space="preserve">underwent </w:t>
      </w:r>
      <w:r w:rsidR="003A217D" w:rsidRPr="008D3C1A">
        <w:rPr>
          <w:sz w:val="22"/>
          <w:szCs w:val="22"/>
          <w:lang w:val="en-GB"/>
        </w:rPr>
        <w:t xml:space="preserve">significant changes; in particular, </w:t>
      </w:r>
      <w:r w:rsidR="00083015" w:rsidRPr="008D3C1A">
        <w:rPr>
          <w:sz w:val="22"/>
          <w:szCs w:val="22"/>
          <w:lang w:val="en-GB"/>
        </w:rPr>
        <w:t xml:space="preserve">the </w:t>
      </w:r>
      <w:r w:rsidR="003A217D" w:rsidRPr="008D3C1A">
        <w:rPr>
          <w:sz w:val="22"/>
          <w:szCs w:val="22"/>
          <w:lang w:val="en-GB"/>
        </w:rPr>
        <w:t>macroeconomic</w:t>
      </w:r>
      <w:r w:rsidR="00083015" w:rsidRPr="008D3C1A">
        <w:rPr>
          <w:sz w:val="22"/>
          <w:szCs w:val="22"/>
          <w:lang w:val="en-GB"/>
        </w:rPr>
        <w:t xml:space="preserve"> regime</w:t>
      </w:r>
      <w:r w:rsidR="003A217D" w:rsidRPr="008D3C1A">
        <w:rPr>
          <w:sz w:val="22"/>
          <w:szCs w:val="22"/>
          <w:lang w:val="en-GB"/>
        </w:rPr>
        <w:t xml:space="preserve"> experienced notable contrasts among and within the periods 1973</w:t>
      </w:r>
      <w:r w:rsidR="00FF0AA7" w:rsidRPr="008D3C1A">
        <w:rPr>
          <w:sz w:val="22"/>
          <w:szCs w:val="22"/>
          <w:lang w:val="en-GB"/>
        </w:rPr>
        <w:t>–</w:t>
      </w:r>
      <w:r w:rsidR="003A217D" w:rsidRPr="008D3C1A">
        <w:rPr>
          <w:sz w:val="22"/>
          <w:szCs w:val="22"/>
          <w:lang w:val="en-GB"/>
        </w:rPr>
        <w:t>81, 1982</w:t>
      </w:r>
      <w:r w:rsidR="00FF0AA7" w:rsidRPr="008D3C1A">
        <w:rPr>
          <w:sz w:val="22"/>
          <w:szCs w:val="22"/>
          <w:lang w:val="en-GB"/>
        </w:rPr>
        <w:t>–</w:t>
      </w:r>
      <w:r w:rsidR="003A217D" w:rsidRPr="008D3C1A">
        <w:rPr>
          <w:sz w:val="22"/>
          <w:szCs w:val="22"/>
          <w:lang w:val="en-GB"/>
        </w:rPr>
        <w:t>89, 1990</w:t>
      </w:r>
      <w:r w:rsidR="00FF0AA7" w:rsidRPr="008D3C1A">
        <w:rPr>
          <w:sz w:val="22"/>
          <w:szCs w:val="22"/>
          <w:lang w:val="en-GB"/>
        </w:rPr>
        <w:t>–</w:t>
      </w:r>
      <w:r w:rsidR="003A217D" w:rsidRPr="008D3C1A">
        <w:rPr>
          <w:sz w:val="22"/>
          <w:szCs w:val="22"/>
          <w:lang w:val="en-GB"/>
        </w:rPr>
        <w:t>98, 1999</w:t>
      </w:r>
      <w:r w:rsidR="00FF0AA7" w:rsidRPr="008D3C1A">
        <w:rPr>
          <w:sz w:val="22"/>
          <w:szCs w:val="22"/>
          <w:lang w:val="en-GB"/>
        </w:rPr>
        <w:t>–</w:t>
      </w:r>
      <w:r w:rsidR="003A217D" w:rsidRPr="008D3C1A">
        <w:rPr>
          <w:sz w:val="22"/>
          <w:szCs w:val="22"/>
          <w:lang w:val="en-GB"/>
        </w:rPr>
        <w:t>2007 and 2008</w:t>
      </w:r>
      <w:r w:rsidR="00FF0AA7" w:rsidRPr="008D3C1A">
        <w:rPr>
          <w:sz w:val="22"/>
          <w:szCs w:val="22"/>
          <w:lang w:val="en-GB"/>
        </w:rPr>
        <w:t>–</w:t>
      </w:r>
      <w:r w:rsidR="003A217D" w:rsidRPr="008D3C1A">
        <w:rPr>
          <w:sz w:val="22"/>
          <w:szCs w:val="22"/>
          <w:lang w:val="en-GB"/>
        </w:rPr>
        <w:t>201</w:t>
      </w:r>
      <w:r w:rsidR="0070213E" w:rsidRPr="008D3C1A">
        <w:rPr>
          <w:sz w:val="22"/>
          <w:szCs w:val="22"/>
          <w:lang w:val="en-GB"/>
        </w:rPr>
        <w:t>3</w:t>
      </w:r>
      <w:r w:rsidR="003A217D" w:rsidRPr="008D3C1A">
        <w:rPr>
          <w:sz w:val="22"/>
          <w:szCs w:val="22"/>
          <w:lang w:val="en-GB"/>
        </w:rPr>
        <w:t>.</w:t>
      </w:r>
    </w:p>
    <w:p w:rsidR="005C4632" w:rsidRPr="008D3C1A" w:rsidRDefault="0038690F" w:rsidP="00AC15A7">
      <w:pPr>
        <w:spacing w:after="120" w:line="360" w:lineRule="auto"/>
        <w:ind w:firstLine="708"/>
        <w:jc w:val="both"/>
        <w:rPr>
          <w:sz w:val="22"/>
          <w:szCs w:val="22"/>
          <w:lang w:val="en-GB"/>
        </w:rPr>
      </w:pPr>
      <w:r w:rsidRPr="008D3C1A">
        <w:rPr>
          <w:sz w:val="22"/>
          <w:szCs w:val="22"/>
          <w:lang w:val="en-GB"/>
        </w:rPr>
        <w:t xml:space="preserve">The first </w:t>
      </w:r>
      <w:r w:rsidR="00DC11DC" w:rsidRPr="008D3C1A">
        <w:rPr>
          <w:sz w:val="22"/>
          <w:szCs w:val="22"/>
          <w:lang w:val="en-GB"/>
        </w:rPr>
        <w:t>deep</w:t>
      </w:r>
      <w:r w:rsidRPr="008D3C1A">
        <w:rPr>
          <w:sz w:val="22"/>
          <w:szCs w:val="22"/>
          <w:lang w:val="en-GB"/>
        </w:rPr>
        <w:t xml:space="preserve"> reforms were launched in 1973. </w:t>
      </w:r>
      <w:r w:rsidR="005C4632" w:rsidRPr="008D3C1A">
        <w:rPr>
          <w:sz w:val="22"/>
          <w:szCs w:val="22"/>
          <w:lang w:val="en-GB"/>
        </w:rPr>
        <w:t>Th</w:t>
      </w:r>
      <w:r w:rsidR="00DC11DC" w:rsidRPr="008D3C1A">
        <w:rPr>
          <w:sz w:val="22"/>
          <w:szCs w:val="22"/>
          <w:lang w:val="en-GB"/>
        </w:rPr>
        <w:t>is</w:t>
      </w:r>
      <w:r w:rsidR="005C4632" w:rsidRPr="008D3C1A">
        <w:rPr>
          <w:sz w:val="22"/>
          <w:szCs w:val="22"/>
          <w:lang w:val="en-GB"/>
        </w:rPr>
        <w:t xml:space="preserve"> stage of the reforms (1973</w:t>
      </w:r>
      <w:r w:rsidR="00FF0AA7" w:rsidRPr="008D3C1A">
        <w:rPr>
          <w:sz w:val="22"/>
          <w:szCs w:val="22"/>
          <w:lang w:val="en-GB"/>
        </w:rPr>
        <w:t>–</w:t>
      </w:r>
      <w:r w:rsidR="005C4632" w:rsidRPr="008D3C1A">
        <w:rPr>
          <w:sz w:val="22"/>
          <w:szCs w:val="22"/>
          <w:lang w:val="en-GB"/>
        </w:rPr>
        <w:t xml:space="preserve">81) was </w:t>
      </w:r>
      <w:r w:rsidR="001D0647" w:rsidRPr="008D3C1A">
        <w:rPr>
          <w:sz w:val="22"/>
          <w:szCs w:val="22"/>
          <w:lang w:val="en-GB"/>
        </w:rPr>
        <w:t xml:space="preserve">characterised </w:t>
      </w:r>
      <w:r w:rsidR="005C4632" w:rsidRPr="008D3C1A">
        <w:rPr>
          <w:sz w:val="22"/>
          <w:szCs w:val="22"/>
          <w:lang w:val="en-GB"/>
        </w:rPr>
        <w:t xml:space="preserve">by the implementation of a neo-liberal model in its purest and ideological form. </w:t>
      </w:r>
      <w:r w:rsidR="00DC11DC" w:rsidRPr="008D3C1A">
        <w:rPr>
          <w:sz w:val="22"/>
          <w:szCs w:val="22"/>
          <w:lang w:val="en-GB"/>
        </w:rPr>
        <w:t>T</w:t>
      </w:r>
      <w:r w:rsidR="005C4632" w:rsidRPr="008D3C1A">
        <w:rPr>
          <w:sz w:val="22"/>
          <w:szCs w:val="22"/>
          <w:lang w:val="en-GB"/>
        </w:rPr>
        <w:t xml:space="preserve">rade and financial </w:t>
      </w:r>
      <w:r w:rsidR="001D0647" w:rsidRPr="008D3C1A">
        <w:rPr>
          <w:sz w:val="22"/>
          <w:szCs w:val="22"/>
          <w:lang w:val="en-GB"/>
        </w:rPr>
        <w:t xml:space="preserve">liberalisation </w:t>
      </w:r>
      <w:r w:rsidR="00CF7009" w:rsidRPr="008D3C1A">
        <w:rPr>
          <w:sz w:val="22"/>
          <w:szCs w:val="22"/>
          <w:lang w:val="en-GB"/>
        </w:rPr>
        <w:t xml:space="preserve">practically free </w:t>
      </w:r>
      <w:r w:rsidR="001D0647" w:rsidRPr="008D3C1A">
        <w:rPr>
          <w:sz w:val="22"/>
          <w:szCs w:val="22"/>
          <w:lang w:val="en-GB"/>
        </w:rPr>
        <w:t xml:space="preserve">from </w:t>
      </w:r>
      <w:r w:rsidR="00CF7009" w:rsidRPr="008D3C1A">
        <w:rPr>
          <w:sz w:val="22"/>
          <w:szCs w:val="22"/>
          <w:lang w:val="en-GB"/>
        </w:rPr>
        <w:t>prudential regulation</w:t>
      </w:r>
      <w:r w:rsidR="005C4632" w:rsidRPr="008D3C1A">
        <w:rPr>
          <w:sz w:val="22"/>
          <w:szCs w:val="22"/>
          <w:lang w:val="en-GB"/>
        </w:rPr>
        <w:t xml:space="preserve">, </w:t>
      </w:r>
      <w:r w:rsidR="001D0647" w:rsidRPr="008D3C1A">
        <w:rPr>
          <w:sz w:val="22"/>
          <w:szCs w:val="22"/>
          <w:lang w:val="en-GB"/>
        </w:rPr>
        <w:t xml:space="preserve">as well as </w:t>
      </w:r>
      <w:r w:rsidR="005C4632" w:rsidRPr="008D3C1A">
        <w:rPr>
          <w:sz w:val="22"/>
          <w:szCs w:val="22"/>
          <w:lang w:val="en-GB"/>
        </w:rPr>
        <w:t>the adoption of “neutral” economic policies</w:t>
      </w:r>
      <w:r w:rsidR="00FF0AA7" w:rsidRPr="008D3C1A">
        <w:rPr>
          <w:sz w:val="22"/>
          <w:szCs w:val="22"/>
          <w:lang w:val="en-GB"/>
        </w:rPr>
        <w:t>–</w:t>
      </w:r>
      <w:r w:rsidR="00CF7009" w:rsidRPr="008D3C1A">
        <w:rPr>
          <w:sz w:val="22"/>
          <w:szCs w:val="22"/>
          <w:lang w:val="en-GB"/>
        </w:rPr>
        <w:t>under the view that “always the market knows better”</w:t>
      </w:r>
      <w:r w:rsidR="00FF0AA7" w:rsidRPr="008D3C1A">
        <w:rPr>
          <w:sz w:val="22"/>
          <w:szCs w:val="22"/>
          <w:lang w:val="en-GB"/>
        </w:rPr>
        <w:t>–</w:t>
      </w:r>
      <w:r w:rsidR="005C4632" w:rsidRPr="008D3C1A">
        <w:rPr>
          <w:sz w:val="22"/>
          <w:szCs w:val="22"/>
          <w:lang w:val="en-GB"/>
        </w:rPr>
        <w:t xml:space="preserve"> were accompanied by massive </w:t>
      </w:r>
      <w:r w:rsidR="001D0647" w:rsidRPr="008D3C1A">
        <w:rPr>
          <w:sz w:val="22"/>
          <w:szCs w:val="22"/>
          <w:lang w:val="en-GB"/>
        </w:rPr>
        <w:t>privatisations</w:t>
      </w:r>
      <w:r w:rsidR="005C4632" w:rsidRPr="008D3C1A">
        <w:rPr>
          <w:sz w:val="22"/>
          <w:szCs w:val="22"/>
          <w:lang w:val="en-GB"/>
        </w:rPr>
        <w:t>.</w:t>
      </w:r>
      <w:r w:rsidR="001D0647" w:rsidRPr="008D3C1A">
        <w:rPr>
          <w:sz w:val="22"/>
          <w:szCs w:val="22"/>
          <w:lang w:val="en-GB"/>
        </w:rPr>
        <w:t xml:space="preserve">By 1981, </w:t>
      </w:r>
      <w:r w:rsidR="005C4632" w:rsidRPr="008D3C1A">
        <w:rPr>
          <w:sz w:val="22"/>
          <w:szCs w:val="22"/>
          <w:lang w:val="en-GB"/>
        </w:rPr>
        <w:t xml:space="preserve">success </w:t>
      </w:r>
      <w:r w:rsidR="001D0647" w:rsidRPr="008D3C1A">
        <w:rPr>
          <w:sz w:val="22"/>
          <w:szCs w:val="22"/>
          <w:lang w:val="en-GB"/>
        </w:rPr>
        <w:t xml:space="preserve">had been generally </w:t>
      </w:r>
      <w:r w:rsidR="005C4632" w:rsidRPr="008D3C1A">
        <w:rPr>
          <w:sz w:val="22"/>
          <w:szCs w:val="22"/>
          <w:lang w:val="en-GB"/>
        </w:rPr>
        <w:t>achieved in reducing inflation and eliminating the fiscal deficit</w:t>
      </w:r>
      <w:r w:rsidR="00CF7009" w:rsidRPr="008D3C1A">
        <w:rPr>
          <w:sz w:val="22"/>
          <w:szCs w:val="22"/>
          <w:lang w:val="en-GB"/>
        </w:rPr>
        <w:t xml:space="preserve"> inherited</w:t>
      </w:r>
      <w:r w:rsidR="005C4632" w:rsidRPr="008D3C1A">
        <w:rPr>
          <w:sz w:val="22"/>
          <w:szCs w:val="22"/>
          <w:lang w:val="en-GB"/>
        </w:rPr>
        <w:t xml:space="preserve">, </w:t>
      </w:r>
      <w:r w:rsidR="001D0647" w:rsidRPr="008D3C1A">
        <w:rPr>
          <w:sz w:val="22"/>
          <w:szCs w:val="22"/>
          <w:lang w:val="en-GB"/>
        </w:rPr>
        <w:t xml:space="preserve">albeit </w:t>
      </w:r>
      <w:r w:rsidR="005C4632" w:rsidRPr="008D3C1A">
        <w:rPr>
          <w:sz w:val="22"/>
          <w:szCs w:val="22"/>
          <w:lang w:val="en-GB"/>
        </w:rPr>
        <w:t>at the expense of the external balance</w:t>
      </w:r>
      <w:r w:rsidR="00CF7009" w:rsidRPr="008D3C1A">
        <w:rPr>
          <w:sz w:val="22"/>
          <w:szCs w:val="22"/>
          <w:lang w:val="en-GB"/>
        </w:rPr>
        <w:t>, a highly appreciated exchange rate and huge external debt</w:t>
      </w:r>
      <w:r w:rsidR="00185D8E" w:rsidRPr="008D3C1A">
        <w:rPr>
          <w:sz w:val="22"/>
          <w:szCs w:val="22"/>
          <w:lang w:val="en-GB"/>
        </w:rPr>
        <w:t>,</w:t>
      </w:r>
      <w:r w:rsidR="0070213E" w:rsidRPr="008D3C1A">
        <w:rPr>
          <w:sz w:val="22"/>
          <w:szCs w:val="22"/>
          <w:lang w:val="en-GB"/>
        </w:rPr>
        <w:t>while</w:t>
      </w:r>
      <w:r w:rsidR="005C4632" w:rsidRPr="008D3C1A">
        <w:rPr>
          <w:sz w:val="22"/>
          <w:szCs w:val="22"/>
          <w:lang w:val="en-GB"/>
        </w:rPr>
        <w:t xml:space="preserve"> recording </w:t>
      </w:r>
      <w:r w:rsidR="00DC11DC" w:rsidRPr="008D3C1A">
        <w:rPr>
          <w:sz w:val="22"/>
          <w:szCs w:val="22"/>
          <w:lang w:val="en-GB"/>
        </w:rPr>
        <w:t xml:space="preserve">climbing financial savings </w:t>
      </w:r>
      <w:r w:rsidR="00D535FC" w:rsidRPr="008D3C1A">
        <w:rPr>
          <w:sz w:val="22"/>
          <w:szCs w:val="22"/>
          <w:lang w:val="en-GB"/>
        </w:rPr>
        <w:t xml:space="preserve">yet </w:t>
      </w:r>
      <w:r w:rsidR="00DC11DC" w:rsidRPr="008D3C1A">
        <w:rPr>
          <w:sz w:val="22"/>
          <w:szCs w:val="22"/>
          <w:lang w:val="en-GB"/>
        </w:rPr>
        <w:t>a</w:t>
      </w:r>
      <w:r w:rsidR="005C4632" w:rsidRPr="008D3C1A">
        <w:rPr>
          <w:sz w:val="22"/>
          <w:szCs w:val="22"/>
          <w:lang w:val="en-GB"/>
        </w:rPr>
        <w:t xml:space="preserve"> low investment ratio. The </w:t>
      </w:r>
      <w:r w:rsidR="0070213E" w:rsidRPr="008D3C1A">
        <w:rPr>
          <w:sz w:val="22"/>
          <w:szCs w:val="22"/>
          <w:lang w:val="en-GB"/>
        </w:rPr>
        <w:t>outcome</w:t>
      </w:r>
      <w:r w:rsidR="005C4632" w:rsidRPr="008D3C1A">
        <w:rPr>
          <w:sz w:val="22"/>
          <w:szCs w:val="22"/>
          <w:lang w:val="en-GB"/>
        </w:rPr>
        <w:t xml:space="preserve"> was a banking and </w:t>
      </w:r>
      <w:r w:rsidR="00CF7009" w:rsidRPr="008D3C1A">
        <w:rPr>
          <w:sz w:val="22"/>
          <w:szCs w:val="22"/>
          <w:lang w:val="en-GB"/>
        </w:rPr>
        <w:t xml:space="preserve">foreign </w:t>
      </w:r>
      <w:r w:rsidR="005C4632" w:rsidRPr="008D3C1A">
        <w:rPr>
          <w:sz w:val="22"/>
          <w:szCs w:val="22"/>
          <w:lang w:val="en-GB"/>
        </w:rPr>
        <w:lastRenderedPageBreak/>
        <w:t xml:space="preserve">exchange crisis with </w:t>
      </w:r>
      <w:r w:rsidR="00DC11DC" w:rsidRPr="008D3C1A">
        <w:rPr>
          <w:sz w:val="22"/>
          <w:szCs w:val="22"/>
          <w:lang w:val="en-GB"/>
        </w:rPr>
        <w:t>huge</w:t>
      </w:r>
      <w:r w:rsidR="005C4632" w:rsidRPr="008D3C1A">
        <w:rPr>
          <w:sz w:val="22"/>
          <w:szCs w:val="22"/>
          <w:lang w:val="en-GB"/>
        </w:rPr>
        <w:t xml:space="preserve"> economic and social impacts in 1982, including a GDP drop of 14</w:t>
      </w:r>
      <w:r w:rsidR="005024D3" w:rsidRPr="008D3C1A">
        <w:rPr>
          <w:sz w:val="22"/>
          <w:szCs w:val="22"/>
          <w:lang w:val="en-GB"/>
        </w:rPr>
        <w:t xml:space="preserve"> per cent</w:t>
      </w:r>
      <w:r w:rsidR="005C4632" w:rsidRPr="008D3C1A">
        <w:rPr>
          <w:sz w:val="22"/>
          <w:szCs w:val="22"/>
          <w:lang w:val="en-GB"/>
        </w:rPr>
        <w:t>, high unemployment exceeding 30</w:t>
      </w:r>
      <w:r w:rsidR="005024D3" w:rsidRPr="008D3C1A">
        <w:rPr>
          <w:sz w:val="22"/>
          <w:szCs w:val="22"/>
          <w:lang w:val="en-GB"/>
        </w:rPr>
        <w:t xml:space="preserve"> per cent</w:t>
      </w:r>
      <w:r w:rsidR="005C4632" w:rsidRPr="008D3C1A">
        <w:rPr>
          <w:sz w:val="22"/>
          <w:szCs w:val="22"/>
          <w:lang w:val="en-GB"/>
        </w:rPr>
        <w:t xml:space="preserve"> of the labo</w:t>
      </w:r>
      <w:r w:rsidR="00D535FC" w:rsidRPr="008D3C1A">
        <w:rPr>
          <w:sz w:val="22"/>
          <w:szCs w:val="22"/>
          <w:lang w:val="en-GB"/>
        </w:rPr>
        <w:t>u</w:t>
      </w:r>
      <w:r w:rsidR="005C4632" w:rsidRPr="008D3C1A">
        <w:rPr>
          <w:sz w:val="22"/>
          <w:szCs w:val="22"/>
          <w:lang w:val="en-GB"/>
        </w:rPr>
        <w:t>r force and a significant increase in poverty</w:t>
      </w:r>
      <w:r w:rsidR="00D535FC" w:rsidRPr="008D3C1A">
        <w:rPr>
          <w:sz w:val="22"/>
          <w:szCs w:val="22"/>
          <w:lang w:val="en-GB"/>
        </w:rPr>
        <w:t>,</w:t>
      </w:r>
      <w:r w:rsidR="005C4632" w:rsidRPr="008D3C1A">
        <w:rPr>
          <w:sz w:val="22"/>
          <w:szCs w:val="22"/>
          <w:lang w:val="en-GB"/>
        </w:rPr>
        <w:t xml:space="preserve"> with a worsening income distribution.</w:t>
      </w:r>
    </w:p>
    <w:p w:rsidR="005C4632" w:rsidRPr="008D3C1A" w:rsidRDefault="005C4632" w:rsidP="00AC15A7">
      <w:pPr>
        <w:spacing w:after="120" w:line="360" w:lineRule="auto"/>
        <w:jc w:val="both"/>
        <w:rPr>
          <w:strike/>
          <w:sz w:val="22"/>
          <w:szCs w:val="22"/>
          <w:lang w:val="en-GB"/>
        </w:rPr>
      </w:pPr>
      <w:r w:rsidRPr="008D3C1A">
        <w:rPr>
          <w:sz w:val="22"/>
          <w:szCs w:val="22"/>
          <w:lang w:val="en-GB"/>
        </w:rPr>
        <w:tab/>
        <w:t xml:space="preserve">The second stage </w:t>
      </w:r>
      <w:r w:rsidR="00CF7009" w:rsidRPr="008D3C1A">
        <w:rPr>
          <w:sz w:val="22"/>
          <w:szCs w:val="22"/>
          <w:lang w:val="en-GB"/>
        </w:rPr>
        <w:t xml:space="preserve">of the dictatorship </w:t>
      </w:r>
      <w:r w:rsidRPr="008D3C1A">
        <w:rPr>
          <w:sz w:val="22"/>
          <w:szCs w:val="22"/>
          <w:lang w:val="en-GB"/>
        </w:rPr>
        <w:t>(1982</w:t>
      </w:r>
      <w:r w:rsidR="00FF0AA7" w:rsidRPr="008D3C1A">
        <w:rPr>
          <w:sz w:val="22"/>
          <w:szCs w:val="22"/>
          <w:lang w:val="en-GB"/>
        </w:rPr>
        <w:t>–</w:t>
      </w:r>
      <w:r w:rsidRPr="008D3C1A">
        <w:rPr>
          <w:sz w:val="22"/>
          <w:szCs w:val="22"/>
          <w:lang w:val="en-GB"/>
        </w:rPr>
        <w:t xml:space="preserve">89) implied moves toward more pragmatic policies to overcome the effects of the deep crisis. It involved a series of foreign debt renegotiations, several policy interventions aimed </w:t>
      </w:r>
      <w:r w:rsidR="00D535FC" w:rsidRPr="008D3C1A">
        <w:rPr>
          <w:sz w:val="22"/>
          <w:szCs w:val="22"/>
          <w:lang w:val="en-GB"/>
        </w:rPr>
        <w:t xml:space="preserve">at </w:t>
      </w:r>
      <w:r w:rsidRPr="008D3C1A">
        <w:rPr>
          <w:sz w:val="22"/>
          <w:szCs w:val="22"/>
          <w:lang w:val="en-GB"/>
        </w:rPr>
        <w:t>balanc</w:t>
      </w:r>
      <w:r w:rsidR="00D535FC" w:rsidRPr="008D3C1A">
        <w:rPr>
          <w:sz w:val="22"/>
          <w:szCs w:val="22"/>
          <w:lang w:val="en-GB"/>
        </w:rPr>
        <w:t>ing</w:t>
      </w:r>
      <w:r w:rsidRPr="008D3C1A">
        <w:rPr>
          <w:sz w:val="22"/>
          <w:szCs w:val="22"/>
          <w:lang w:val="en-GB"/>
        </w:rPr>
        <w:t xml:space="preserve"> the external deficit </w:t>
      </w:r>
      <w:r w:rsidR="00FF0AA7" w:rsidRPr="008D3C1A">
        <w:rPr>
          <w:sz w:val="22"/>
          <w:szCs w:val="22"/>
          <w:lang w:val="en-GB"/>
        </w:rPr>
        <w:t>–</w:t>
      </w:r>
      <w:r w:rsidRPr="008D3C1A">
        <w:rPr>
          <w:sz w:val="22"/>
          <w:szCs w:val="22"/>
          <w:lang w:val="en-GB"/>
        </w:rPr>
        <w:t>such as tariff increases and “selective” export incentives</w:t>
      </w:r>
      <w:r w:rsidR="00FF0AA7" w:rsidRPr="008D3C1A">
        <w:rPr>
          <w:sz w:val="22"/>
          <w:szCs w:val="22"/>
          <w:lang w:val="en-GB"/>
        </w:rPr>
        <w:t>–</w:t>
      </w:r>
      <w:r w:rsidRPr="008D3C1A">
        <w:rPr>
          <w:sz w:val="22"/>
          <w:szCs w:val="22"/>
          <w:lang w:val="en-GB"/>
        </w:rPr>
        <w:t xml:space="preserve"> and the </w:t>
      </w:r>
      <w:r w:rsidR="00D535FC" w:rsidRPr="008D3C1A">
        <w:rPr>
          <w:sz w:val="22"/>
          <w:szCs w:val="22"/>
          <w:lang w:val="en-GB"/>
        </w:rPr>
        <w:t xml:space="preserve">government’s </w:t>
      </w:r>
      <w:r w:rsidRPr="008D3C1A">
        <w:rPr>
          <w:sz w:val="22"/>
          <w:szCs w:val="22"/>
          <w:lang w:val="en-GB"/>
        </w:rPr>
        <w:t xml:space="preserve">direct take-over of the collapsed financial system, </w:t>
      </w:r>
      <w:r w:rsidR="00D535FC" w:rsidRPr="008D3C1A">
        <w:rPr>
          <w:sz w:val="22"/>
          <w:szCs w:val="22"/>
          <w:lang w:val="en-GB"/>
        </w:rPr>
        <w:t xml:space="preserve">before subsequentlyprivatising </w:t>
      </w:r>
      <w:r w:rsidRPr="008D3C1A">
        <w:rPr>
          <w:sz w:val="22"/>
          <w:szCs w:val="22"/>
          <w:lang w:val="en-GB"/>
        </w:rPr>
        <w:t>it again when their balance sheets were in order</w:t>
      </w:r>
      <w:r w:rsidR="00610291">
        <w:rPr>
          <w:sz w:val="22"/>
          <w:szCs w:val="22"/>
          <w:lang w:val="en-GB"/>
        </w:rPr>
        <w:t>;</w:t>
      </w:r>
      <w:r w:rsidRPr="008D3C1A">
        <w:rPr>
          <w:sz w:val="22"/>
          <w:szCs w:val="22"/>
          <w:lang w:val="en-GB"/>
        </w:rPr>
        <w:t xml:space="preserve"> heavy public subsidies to banks and debtors</w:t>
      </w:r>
      <w:r w:rsidR="00610291">
        <w:rPr>
          <w:sz w:val="22"/>
          <w:szCs w:val="22"/>
          <w:lang w:val="en-GB"/>
        </w:rPr>
        <w:t xml:space="preserve"> represented to</w:t>
      </w:r>
      <w:r w:rsidR="00A743DE" w:rsidRPr="008D3C1A">
        <w:rPr>
          <w:sz w:val="22"/>
          <w:szCs w:val="22"/>
          <w:lang w:val="en-GB"/>
        </w:rPr>
        <w:t xml:space="preserve"> the Treasury some 35</w:t>
      </w:r>
      <w:r w:rsidR="005024D3" w:rsidRPr="008D3C1A">
        <w:rPr>
          <w:sz w:val="22"/>
          <w:szCs w:val="22"/>
          <w:lang w:val="en-GB"/>
        </w:rPr>
        <w:t xml:space="preserve"> per cent</w:t>
      </w:r>
      <w:r w:rsidR="00A743DE" w:rsidRPr="008D3C1A">
        <w:rPr>
          <w:sz w:val="22"/>
          <w:szCs w:val="22"/>
          <w:lang w:val="en-GB"/>
        </w:rPr>
        <w:t xml:space="preserve"> of annual GDP</w:t>
      </w:r>
      <w:r w:rsidRPr="008D3C1A">
        <w:rPr>
          <w:sz w:val="22"/>
          <w:szCs w:val="22"/>
          <w:lang w:val="en-GB"/>
        </w:rPr>
        <w:t xml:space="preserve">. At the end of this period, the economy had recovered, while income distribution had worsened even further than </w:t>
      </w:r>
      <w:r w:rsidR="00D535FC" w:rsidRPr="008D3C1A">
        <w:rPr>
          <w:sz w:val="22"/>
          <w:szCs w:val="22"/>
          <w:lang w:val="en-GB"/>
        </w:rPr>
        <w:t>in the 1970s</w:t>
      </w:r>
      <w:r w:rsidRPr="008D3C1A">
        <w:rPr>
          <w:sz w:val="22"/>
          <w:szCs w:val="22"/>
          <w:lang w:val="en-GB"/>
        </w:rPr>
        <w:t>. During recovery, actual GDP grew vigorously, but after due consideration of the 1982 recession it emerges that average annual growth was 3</w:t>
      </w:r>
      <w:r w:rsidR="005024D3" w:rsidRPr="008D3C1A">
        <w:rPr>
          <w:sz w:val="22"/>
          <w:szCs w:val="22"/>
          <w:lang w:val="en-GB"/>
        </w:rPr>
        <w:t xml:space="preserve"> per cent</w:t>
      </w:r>
      <w:r w:rsidR="00185D8E" w:rsidRPr="008D3C1A">
        <w:rPr>
          <w:sz w:val="22"/>
          <w:szCs w:val="22"/>
          <w:lang w:val="en-GB"/>
        </w:rPr>
        <w:t xml:space="preserve">or under </w:t>
      </w:r>
      <w:r w:rsidRPr="008D3C1A">
        <w:rPr>
          <w:sz w:val="22"/>
          <w:szCs w:val="22"/>
          <w:lang w:val="en-GB"/>
        </w:rPr>
        <w:t>in both halves of the Pinochet regime.</w:t>
      </w:r>
    </w:p>
    <w:p w:rsidR="005C4632" w:rsidRPr="008D3C1A" w:rsidRDefault="005C4632" w:rsidP="00AC15A7">
      <w:pPr>
        <w:spacing w:after="120" w:line="360" w:lineRule="auto"/>
        <w:jc w:val="both"/>
        <w:rPr>
          <w:sz w:val="22"/>
          <w:szCs w:val="22"/>
          <w:lang w:val="en-GB"/>
        </w:rPr>
      </w:pPr>
      <w:r w:rsidRPr="008D3C1A">
        <w:rPr>
          <w:sz w:val="22"/>
          <w:szCs w:val="22"/>
          <w:lang w:val="en-GB"/>
        </w:rPr>
        <w:tab/>
      </w:r>
      <w:r w:rsidR="00D535FC" w:rsidRPr="008D3C1A">
        <w:rPr>
          <w:sz w:val="22"/>
          <w:szCs w:val="22"/>
          <w:lang w:val="en-GB"/>
        </w:rPr>
        <w:t xml:space="preserve">A third variant of the economic model began in 1990,during </w:t>
      </w:r>
      <w:r w:rsidRPr="008D3C1A">
        <w:rPr>
          <w:sz w:val="22"/>
          <w:szCs w:val="22"/>
          <w:lang w:val="en-GB"/>
        </w:rPr>
        <w:t>the return to democracy,</w:t>
      </w:r>
      <w:r w:rsidR="00D535FC" w:rsidRPr="008D3C1A">
        <w:rPr>
          <w:sz w:val="22"/>
          <w:szCs w:val="22"/>
          <w:lang w:val="en-GB"/>
        </w:rPr>
        <w:t xml:space="preserve"> when</w:t>
      </w:r>
      <w:r w:rsidRPr="008D3C1A">
        <w:rPr>
          <w:sz w:val="22"/>
          <w:szCs w:val="22"/>
          <w:lang w:val="en-GB"/>
        </w:rPr>
        <w:t xml:space="preserve"> the Chilean economy faced the challenges of achieving a sustained high average GDP growth and serving the great social debt accumulated in the years of dictatorship. </w:t>
      </w:r>
      <w:r w:rsidR="00080474" w:rsidRPr="008D3C1A">
        <w:rPr>
          <w:sz w:val="22"/>
          <w:szCs w:val="22"/>
          <w:lang w:val="en-GB"/>
        </w:rPr>
        <w:t>T</w:t>
      </w:r>
      <w:r w:rsidRPr="008D3C1A">
        <w:rPr>
          <w:sz w:val="22"/>
          <w:szCs w:val="22"/>
          <w:lang w:val="en-GB"/>
        </w:rPr>
        <w:t>he formal slogan of the Concertación Democrática, a cent</w:t>
      </w:r>
      <w:r w:rsidR="00D535FC" w:rsidRPr="008D3C1A">
        <w:rPr>
          <w:sz w:val="22"/>
          <w:szCs w:val="22"/>
          <w:lang w:val="en-GB"/>
        </w:rPr>
        <w:t>re</w:t>
      </w:r>
      <w:r w:rsidRPr="008D3C1A">
        <w:rPr>
          <w:sz w:val="22"/>
          <w:szCs w:val="22"/>
          <w:lang w:val="en-GB"/>
        </w:rPr>
        <w:t>-left coalition of socialists and Christian democrats, was “change with stability” for achieving growth with equity in the socio-economic dimension of the program</w:t>
      </w:r>
      <w:r w:rsidR="00EA5066" w:rsidRPr="008D3C1A">
        <w:rPr>
          <w:sz w:val="22"/>
          <w:szCs w:val="22"/>
          <w:lang w:val="en-GB"/>
        </w:rPr>
        <w:t>me</w:t>
      </w:r>
      <w:r w:rsidRPr="008D3C1A">
        <w:rPr>
          <w:sz w:val="22"/>
          <w:szCs w:val="22"/>
          <w:lang w:val="en-GB"/>
        </w:rPr>
        <w:t xml:space="preserve"> of the new government. </w:t>
      </w:r>
    </w:p>
    <w:p w:rsidR="009A3D49" w:rsidRPr="008D3C1A" w:rsidRDefault="005C4632" w:rsidP="00AC15A7">
      <w:pPr>
        <w:pStyle w:val="NormalWeb"/>
        <w:spacing w:before="0" w:beforeAutospacing="0" w:after="120" w:afterAutospacing="0" w:line="360" w:lineRule="auto"/>
        <w:ind w:firstLine="708"/>
        <w:jc w:val="both"/>
        <w:rPr>
          <w:sz w:val="22"/>
          <w:szCs w:val="22"/>
          <w:lang w:val="en-GB"/>
        </w:rPr>
      </w:pPr>
      <w:r w:rsidRPr="008D3C1A">
        <w:rPr>
          <w:sz w:val="22"/>
          <w:szCs w:val="22"/>
          <w:lang w:val="en-GB"/>
        </w:rPr>
        <w:t xml:space="preserve">There were significant reforms of the market model, strengthening the social component and correcting severe </w:t>
      </w:r>
      <w:r w:rsidR="00C741AB" w:rsidRPr="008D3C1A">
        <w:rPr>
          <w:sz w:val="22"/>
          <w:szCs w:val="22"/>
          <w:lang w:val="en-GB"/>
        </w:rPr>
        <w:t xml:space="preserve">pro-cyclical </w:t>
      </w:r>
      <w:r w:rsidRPr="008D3C1A">
        <w:rPr>
          <w:sz w:val="22"/>
          <w:szCs w:val="22"/>
          <w:lang w:val="en-GB"/>
        </w:rPr>
        <w:t>failures of economic policies</w:t>
      </w:r>
      <w:r w:rsidR="00D535FC" w:rsidRPr="008D3C1A">
        <w:rPr>
          <w:sz w:val="22"/>
          <w:szCs w:val="22"/>
          <w:lang w:val="en-GB"/>
        </w:rPr>
        <w:t>, including</w:t>
      </w:r>
      <w:r w:rsidRPr="008D3C1A">
        <w:rPr>
          <w:sz w:val="22"/>
          <w:szCs w:val="22"/>
          <w:lang w:val="en-GB"/>
        </w:rPr>
        <w:t xml:space="preserve"> labo</w:t>
      </w:r>
      <w:r w:rsidR="00D535FC" w:rsidRPr="008D3C1A">
        <w:rPr>
          <w:sz w:val="22"/>
          <w:szCs w:val="22"/>
          <w:lang w:val="en-GB"/>
        </w:rPr>
        <w:t>u</w:t>
      </w:r>
      <w:r w:rsidRPr="008D3C1A">
        <w:rPr>
          <w:sz w:val="22"/>
          <w:szCs w:val="22"/>
          <w:lang w:val="en-GB"/>
        </w:rPr>
        <w:t>r and tax reform</w:t>
      </w:r>
      <w:r w:rsidR="00B411D7" w:rsidRPr="008D3C1A">
        <w:rPr>
          <w:sz w:val="22"/>
          <w:szCs w:val="22"/>
          <w:lang w:val="en-GB"/>
        </w:rPr>
        <w:t>s</w:t>
      </w:r>
      <w:r w:rsidRPr="008D3C1A">
        <w:rPr>
          <w:sz w:val="22"/>
          <w:szCs w:val="22"/>
          <w:lang w:val="en-GB"/>
        </w:rPr>
        <w:t xml:space="preserve"> to improve social expenditure. In addition, substantive counter-cyclical changes in fiscal, monetary, capital markets, exchange rate and regulat</w:t>
      </w:r>
      <w:r w:rsidR="00C741AB" w:rsidRPr="008D3C1A">
        <w:rPr>
          <w:sz w:val="22"/>
          <w:szCs w:val="22"/>
          <w:lang w:val="en-GB"/>
        </w:rPr>
        <w:t>ory</w:t>
      </w:r>
      <w:r w:rsidRPr="008D3C1A">
        <w:rPr>
          <w:sz w:val="22"/>
          <w:szCs w:val="22"/>
          <w:lang w:val="en-GB"/>
        </w:rPr>
        <w:t xml:space="preserve"> policies were implemented, aiming </w:t>
      </w:r>
      <w:r w:rsidR="00D535FC" w:rsidRPr="008D3C1A">
        <w:rPr>
          <w:sz w:val="22"/>
          <w:szCs w:val="22"/>
          <w:lang w:val="en-GB"/>
        </w:rPr>
        <w:t xml:space="preserve">at </w:t>
      </w:r>
      <w:r w:rsidRPr="008D3C1A">
        <w:rPr>
          <w:sz w:val="22"/>
          <w:szCs w:val="22"/>
          <w:lang w:val="en-GB"/>
        </w:rPr>
        <w:t xml:space="preserve">a sustainable </w:t>
      </w:r>
      <w:r w:rsidR="00A743DE" w:rsidRPr="008D3C1A">
        <w:rPr>
          <w:i/>
          <w:sz w:val="22"/>
          <w:szCs w:val="22"/>
          <w:lang w:val="en-GB"/>
        </w:rPr>
        <w:t>real</w:t>
      </w:r>
      <w:r w:rsidRPr="008D3C1A">
        <w:rPr>
          <w:sz w:val="22"/>
          <w:szCs w:val="22"/>
          <w:lang w:val="en-GB"/>
        </w:rPr>
        <w:t>macroeconomic environment</w:t>
      </w:r>
      <w:r w:rsidR="00A743DE" w:rsidRPr="008D3C1A">
        <w:rPr>
          <w:sz w:val="22"/>
          <w:szCs w:val="22"/>
          <w:lang w:val="en-GB"/>
        </w:rPr>
        <w:t xml:space="preserve"> (beyond inflation </w:t>
      </w:r>
      <w:r w:rsidR="009A3D49" w:rsidRPr="008D3C1A">
        <w:rPr>
          <w:sz w:val="22"/>
          <w:szCs w:val="22"/>
          <w:lang w:val="en-GB"/>
        </w:rPr>
        <w:t xml:space="preserve">and </w:t>
      </w:r>
      <w:r w:rsidR="00A743DE" w:rsidRPr="008D3C1A">
        <w:rPr>
          <w:sz w:val="22"/>
          <w:szCs w:val="22"/>
          <w:lang w:val="en-GB"/>
        </w:rPr>
        <w:t xml:space="preserve">fiscal balance under control, an aggregate demand consistent with potential GDP and </w:t>
      </w:r>
      <w:r w:rsidR="00FB7048" w:rsidRPr="008D3C1A">
        <w:rPr>
          <w:sz w:val="22"/>
          <w:szCs w:val="22"/>
          <w:lang w:val="en-GB"/>
        </w:rPr>
        <w:t>sustainable</w:t>
      </w:r>
      <w:r w:rsidR="00A743DE" w:rsidRPr="008D3C1A">
        <w:rPr>
          <w:sz w:val="22"/>
          <w:szCs w:val="22"/>
          <w:lang w:val="en-GB"/>
        </w:rPr>
        <w:t xml:space="preserve"> external balance and exchange rate)</w:t>
      </w:r>
      <w:r w:rsidR="00083015" w:rsidRPr="008D3C1A">
        <w:rPr>
          <w:rStyle w:val="Refdenotaalpie"/>
          <w:sz w:val="22"/>
          <w:szCs w:val="22"/>
          <w:lang w:val="en-GB"/>
        </w:rPr>
        <w:footnoteReference w:id="4"/>
      </w:r>
      <w:r w:rsidR="004C6FFF" w:rsidRPr="008D3C1A">
        <w:rPr>
          <w:sz w:val="22"/>
          <w:szCs w:val="22"/>
          <w:lang w:val="en-GB"/>
        </w:rPr>
        <w:t>.</w:t>
      </w:r>
    </w:p>
    <w:p w:rsidR="00AF3BF1" w:rsidRPr="008D3C1A" w:rsidRDefault="00D535FC" w:rsidP="00AC15A7">
      <w:pPr>
        <w:pStyle w:val="NormalWeb"/>
        <w:spacing w:before="0" w:beforeAutospacing="0" w:after="120" w:afterAutospacing="0" w:line="360" w:lineRule="auto"/>
        <w:ind w:firstLine="708"/>
        <w:jc w:val="both"/>
        <w:rPr>
          <w:sz w:val="22"/>
          <w:szCs w:val="22"/>
          <w:lang w:val="en-GB"/>
        </w:rPr>
      </w:pPr>
      <w:r w:rsidRPr="008D3C1A">
        <w:rPr>
          <w:sz w:val="22"/>
          <w:szCs w:val="22"/>
          <w:lang w:val="en-GB"/>
        </w:rPr>
        <w:t>The new authorities considered t</w:t>
      </w:r>
      <w:r w:rsidR="00A743DE" w:rsidRPr="008D3C1A">
        <w:rPr>
          <w:sz w:val="22"/>
          <w:szCs w:val="22"/>
          <w:lang w:val="en-GB"/>
        </w:rPr>
        <w:t xml:space="preserve">hese balances of the real economy </w:t>
      </w:r>
      <w:r w:rsidR="00C741AB" w:rsidRPr="008D3C1A">
        <w:rPr>
          <w:sz w:val="22"/>
          <w:szCs w:val="22"/>
          <w:lang w:val="en-GB"/>
        </w:rPr>
        <w:t>crucial</w:t>
      </w:r>
      <w:r w:rsidR="005C4632" w:rsidRPr="008D3C1A">
        <w:rPr>
          <w:sz w:val="22"/>
          <w:szCs w:val="22"/>
          <w:lang w:val="en-GB"/>
        </w:rPr>
        <w:t xml:space="preserve"> for development</w:t>
      </w:r>
      <w:r w:rsidR="00C741AB" w:rsidRPr="008D3C1A">
        <w:rPr>
          <w:sz w:val="22"/>
          <w:szCs w:val="22"/>
          <w:lang w:val="en-GB"/>
        </w:rPr>
        <w:t xml:space="preserve"> (meant as GDP growth with reduced inequality)</w:t>
      </w:r>
      <w:r w:rsidR="005C4632" w:rsidRPr="008D3C1A">
        <w:rPr>
          <w:sz w:val="22"/>
          <w:szCs w:val="22"/>
          <w:lang w:val="en-GB"/>
        </w:rPr>
        <w:t xml:space="preserve">. </w:t>
      </w:r>
      <w:r w:rsidR="00AF3BF1" w:rsidRPr="008D3C1A">
        <w:rPr>
          <w:sz w:val="22"/>
          <w:szCs w:val="22"/>
          <w:lang w:val="en-GB"/>
        </w:rPr>
        <w:t>One outstanding feature of this period was the regulation of the capital account, with a flexible reserve requirement (</w:t>
      </w:r>
      <w:r w:rsidR="00AF3BF1" w:rsidRPr="008D3C1A">
        <w:rPr>
          <w:rStyle w:val="nfasis"/>
          <w:sz w:val="22"/>
          <w:szCs w:val="22"/>
          <w:lang w:val="en-GB"/>
        </w:rPr>
        <w:t>encaje</w:t>
      </w:r>
      <w:r w:rsidR="00AF3BF1" w:rsidRPr="008D3C1A">
        <w:rPr>
          <w:sz w:val="22"/>
          <w:szCs w:val="22"/>
          <w:lang w:val="en-GB"/>
        </w:rPr>
        <w:t xml:space="preserve">), </w:t>
      </w:r>
      <w:r w:rsidRPr="008D3C1A">
        <w:rPr>
          <w:sz w:val="22"/>
          <w:szCs w:val="22"/>
          <w:lang w:val="en-GB"/>
        </w:rPr>
        <w:t xml:space="preserve">which was </w:t>
      </w:r>
      <w:r w:rsidR="00AF3BF1" w:rsidRPr="008D3C1A">
        <w:rPr>
          <w:sz w:val="22"/>
          <w:szCs w:val="22"/>
          <w:lang w:val="en-GB"/>
        </w:rPr>
        <w:t xml:space="preserve">quite active in these years of large supply of </w:t>
      </w:r>
      <w:r w:rsidR="009A3D49" w:rsidRPr="008D3C1A">
        <w:rPr>
          <w:sz w:val="22"/>
          <w:szCs w:val="22"/>
          <w:lang w:val="en-GB"/>
        </w:rPr>
        <w:t xml:space="preserve">financial </w:t>
      </w:r>
      <w:r w:rsidR="00AF3BF1" w:rsidRPr="008D3C1A">
        <w:rPr>
          <w:sz w:val="22"/>
          <w:szCs w:val="22"/>
          <w:lang w:val="en-GB"/>
        </w:rPr>
        <w:t xml:space="preserve">flows to the emerging economies. The counter-cyclical active regulation helped </w:t>
      </w:r>
      <w:r w:rsidRPr="008D3C1A">
        <w:rPr>
          <w:sz w:val="22"/>
          <w:szCs w:val="22"/>
          <w:lang w:val="en-GB"/>
        </w:rPr>
        <w:t xml:space="preserve">to </w:t>
      </w:r>
      <w:r w:rsidR="00AF3BF1" w:rsidRPr="008D3C1A">
        <w:rPr>
          <w:sz w:val="22"/>
          <w:szCs w:val="22"/>
          <w:lang w:val="en-GB"/>
        </w:rPr>
        <w:t>control the volume of inflows, shift</w:t>
      </w:r>
      <w:r w:rsidRPr="008D3C1A">
        <w:rPr>
          <w:sz w:val="22"/>
          <w:szCs w:val="22"/>
          <w:lang w:val="en-GB"/>
        </w:rPr>
        <w:t>ing</w:t>
      </w:r>
      <w:r w:rsidR="00AF3BF1" w:rsidRPr="008D3C1A">
        <w:rPr>
          <w:sz w:val="22"/>
          <w:szCs w:val="22"/>
          <w:lang w:val="en-GB"/>
        </w:rPr>
        <w:t xml:space="preserve"> its composition to the long term and their allocation in productive investment; </w:t>
      </w:r>
      <w:r w:rsidRPr="008D3C1A">
        <w:rPr>
          <w:sz w:val="22"/>
          <w:szCs w:val="22"/>
          <w:lang w:val="en-GB"/>
        </w:rPr>
        <w:t xml:space="preserve">moreover, </w:t>
      </w:r>
      <w:r w:rsidR="00AF3BF1" w:rsidRPr="008D3C1A">
        <w:rPr>
          <w:sz w:val="22"/>
          <w:szCs w:val="22"/>
          <w:lang w:val="en-GB"/>
        </w:rPr>
        <w:t>it provided space for monetary policy and avoided undue exchange rate appreciation and instability. The economy benefited from comprehensive real macroeconomic stability</w:t>
      </w:r>
      <w:r w:rsidR="00E12B44" w:rsidRPr="008D3C1A">
        <w:rPr>
          <w:sz w:val="22"/>
          <w:szCs w:val="22"/>
          <w:lang w:val="en-GB"/>
        </w:rPr>
        <w:t xml:space="preserve">, </w:t>
      </w:r>
      <w:r w:rsidR="00004CBF" w:rsidRPr="008D3C1A">
        <w:rPr>
          <w:sz w:val="22"/>
          <w:szCs w:val="22"/>
          <w:lang w:val="en-GB"/>
        </w:rPr>
        <w:lastRenderedPageBreak/>
        <w:t xml:space="preserve">which is meant to be development-friendly, </w:t>
      </w:r>
      <w:r w:rsidRPr="008D3C1A">
        <w:rPr>
          <w:sz w:val="22"/>
          <w:szCs w:val="22"/>
          <w:lang w:val="en-GB"/>
        </w:rPr>
        <w:t xml:space="preserve">although </w:t>
      </w:r>
      <w:r w:rsidR="00E12B44" w:rsidRPr="008D3C1A">
        <w:rPr>
          <w:sz w:val="22"/>
          <w:szCs w:val="22"/>
          <w:lang w:val="en-GB"/>
        </w:rPr>
        <w:t>there was</w:t>
      </w:r>
      <w:r w:rsidR="00A743DE" w:rsidRPr="008D3C1A">
        <w:rPr>
          <w:sz w:val="22"/>
          <w:szCs w:val="22"/>
          <w:lang w:val="en-GB"/>
        </w:rPr>
        <w:t xml:space="preserve"> practically</w:t>
      </w:r>
      <w:r w:rsidR="00E12B44" w:rsidRPr="008D3C1A">
        <w:rPr>
          <w:sz w:val="22"/>
          <w:szCs w:val="22"/>
          <w:lang w:val="en-GB"/>
        </w:rPr>
        <w:t xml:space="preserve"> no </w:t>
      </w:r>
      <w:r w:rsidR="00FB7048" w:rsidRPr="008D3C1A">
        <w:rPr>
          <w:sz w:val="22"/>
          <w:szCs w:val="22"/>
          <w:lang w:val="en-GB"/>
        </w:rPr>
        <w:t>room for</w:t>
      </w:r>
      <w:r w:rsidR="00004CBF" w:rsidRPr="008D3C1A">
        <w:rPr>
          <w:sz w:val="22"/>
          <w:szCs w:val="22"/>
          <w:lang w:val="en-GB"/>
        </w:rPr>
        <w:t>direct</w:t>
      </w:r>
      <w:r w:rsidR="00C91215" w:rsidRPr="008D3C1A">
        <w:rPr>
          <w:sz w:val="22"/>
          <w:szCs w:val="22"/>
          <w:lang w:val="en-GB"/>
        </w:rPr>
        <w:t xml:space="preserve">industrial or </w:t>
      </w:r>
      <w:r w:rsidR="00E12B44" w:rsidRPr="008D3C1A">
        <w:rPr>
          <w:sz w:val="22"/>
          <w:szCs w:val="22"/>
          <w:lang w:val="en-GB"/>
        </w:rPr>
        <w:t>productive development policies nor</w:t>
      </w:r>
      <w:r w:rsidR="00FB7048" w:rsidRPr="008D3C1A">
        <w:rPr>
          <w:sz w:val="22"/>
          <w:szCs w:val="22"/>
          <w:lang w:val="en-GB"/>
        </w:rPr>
        <w:t>for direct</w:t>
      </w:r>
      <w:r w:rsidR="00E12B44" w:rsidRPr="008D3C1A">
        <w:rPr>
          <w:sz w:val="22"/>
          <w:szCs w:val="22"/>
          <w:lang w:val="en-GB"/>
        </w:rPr>
        <w:t xml:space="preserve"> support to SMEs</w:t>
      </w:r>
      <w:r w:rsidR="00AF3BF1" w:rsidRPr="008D3C1A">
        <w:rPr>
          <w:sz w:val="22"/>
          <w:szCs w:val="22"/>
          <w:lang w:val="en-GB"/>
        </w:rPr>
        <w:t>.</w:t>
      </w:r>
      <w:r w:rsidRPr="008D3C1A">
        <w:rPr>
          <w:sz w:val="22"/>
          <w:szCs w:val="22"/>
          <w:lang w:val="en-GB"/>
        </w:rPr>
        <w:t>The</w:t>
      </w:r>
      <w:r w:rsidR="009A3D49" w:rsidRPr="008D3C1A">
        <w:rPr>
          <w:sz w:val="22"/>
          <w:szCs w:val="22"/>
          <w:lang w:val="en-GB"/>
        </w:rPr>
        <w:t xml:space="preserve"> constitution inherited from Pinochet and the strong ideological fashion against selective </w:t>
      </w:r>
      <w:r w:rsidR="00920DD3" w:rsidRPr="008D3C1A">
        <w:rPr>
          <w:sz w:val="22"/>
          <w:szCs w:val="22"/>
          <w:lang w:val="en-GB"/>
        </w:rPr>
        <w:t>development</w:t>
      </w:r>
      <w:r w:rsidR="009A3D49" w:rsidRPr="008D3C1A">
        <w:rPr>
          <w:sz w:val="22"/>
          <w:szCs w:val="22"/>
          <w:lang w:val="en-GB"/>
        </w:rPr>
        <w:t xml:space="preserve"> policies</w:t>
      </w:r>
      <w:r w:rsidRPr="008D3C1A">
        <w:rPr>
          <w:sz w:val="22"/>
          <w:szCs w:val="22"/>
          <w:lang w:val="en-GB"/>
        </w:rPr>
        <w:t xml:space="preserve"> represented two particular obstacles</w:t>
      </w:r>
      <w:r w:rsidR="009A3D49" w:rsidRPr="008D3C1A">
        <w:rPr>
          <w:sz w:val="22"/>
          <w:szCs w:val="22"/>
          <w:lang w:val="en-GB"/>
        </w:rPr>
        <w:t>.</w:t>
      </w:r>
    </w:p>
    <w:p w:rsidR="00D82688" w:rsidRPr="008D3C1A" w:rsidRDefault="00D535FC" w:rsidP="00AC15A7">
      <w:pPr>
        <w:spacing w:line="360" w:lineRule="auto"/>
        <w:ind w:firstLine="709"/>
        <w:jc w:val="both"/>
        <w:rPr>
          <w:sz w:val="22"/>
          <w:szCs w:val="22"/>
          <w:lang w:val="en-GB"/>
        </w:rPr>
      </w:pPr>
      <w:r w:rsidRPr="008D3C1A">
        <w:rPr>
          <w:sz w:val="22"/>
          <w:szCs w:val="22"/>
          <w:lang w:val="en-GB"/>
        </w:rPr>
        <w:t>Owing to</w:t>
      </w:r>
      <w:r w:rsidR="00E12B44" w:rsidRPr="008D3C1A">
        <w:rPr>
          <w:sz w:val="22"/>
          <w:szCs w:val="22"/>
          <w:lang w:val="en-GB"/>
        </w:rPr>
        <w:t xml:space="preserve"> reformed macroeconomic policies</w:t>
      </w:r>
      <w:r w:rsidR="00AF3BF1" w:rsidRPr="008D3C1A">
        <w:rPr>
          <w:sz w:val="22"/>
          <w:szCs w:val="22"/>
          <w:lang w:val="en-GB"/>
        </w:rPr>
        <w:t xml:space="preserve">, </w:t>
      </w:r>
      <w:r w:rsidRPr="008D3C1A">
        <w:rPr>
          <w:sz w:val="22"/>
          <w:szCs w:val="22"/>
          <w:lang w:val="en-GB"/>
        </w:rPr>
        <w:t>most</w:t>
      </w:r>
      <w:r w:rsidR="00A1046D" w:rsidRPr="008D3C1A">
        <w:rPr>
          <w:sz w:val="22"/>
          <w:szCs w:val="22"/>
          <w:lang w:val="en-GB"/>
        </w:rPr>
        <w:t xml:space="preserve"> of the </w:t>
      </w:r>
      <w:r w:rsidR="008847CD" w:rsidRPr="008D3C1A">
        <w:rPr>
          <w:sz w:val="22"/>
          <w:szCs w:val="22"/>
          <w:lang w:val="en-GB"/>
        </w:rPr>
        <w:t>period’s</w:t>
      </w:r>
      <w:r w:rsidR="00A1046D" w:rsidRPr="008D3C1A">
        <w:rPr>
          <w:sz w:val="22"/>
          <w:szCs w:val="22"/>
          <w:lang w:val="en-GB"/>
        </w:rPr>
        <w:t xml:space="preserve"> economic activity was close to potential GDP</w:t>
      </w:r>
      <w:r w:rsidRPr="008D3C1A">
        <w:rPr>
          <w:sz w:val="22"/>
          <w:szCs w:val="22"/>
          <w:lang w:val="en-GB"/>
        </w:rPr>
        <w:t>, which had only been the case</w:t>
      </w:r>
      <w:r w:rsidR="00A1046D" w:rsidRPr="008D3C1A">
        <w:rPr>
          <w:sz w:val="22"/>
          <w:szCs w:val="22"/>
          <w:lang w:val="en-GB"/>
        </w:rPr>
        <w:t xml:space="preserve"> in 1974, 1981 and 1989 during the dictatorship. </w:t>
      </w:r>
      <w:r w:rsidR="005C4632" w:rsidRPr="008D3C1A">
        <w:rPr>
          <w:sz w:val="22"/>
          <w:szCs w:val="22"/>
          <w:lang w:val="en-GB"/>
        </w:rPr>
        <w:t>It was in th</w:t>
      </w:r>
      <w:r w:rsidR="009A3D49" w:rsidRPr="008D3C1A">
        <w:rPr>
          <w:sz w:val="22"/>
          <w:szCs w:val="22"/>
          <w:lang w:val="en-GB"/>
        </w:rPr>
        <w:t>is</w:t>
      </w:r>
      <w:r w:rsidR="00E12B44" w:rsidRPr="008D3C1A">
        <w:rPr>
          <w:sz w:val="22"/>
          <w:szCs w:val="22"/>
          <w:lang w:val="en-GB"/>
        </w:rPr>
        <w:t xml:space="preserve"> reformed</w:t>
      </w:r>
      <w:r w:rsidR="009A3D49" w:rsidRPr="008D3C1A">
        <w:rPr>
          <w:sz w:val="22"/>
          <w:szCs w:val="22"/>
          <w:lang w:val="en-GB"/>
        </w:rPr>
        <w:t>macro</w:t>
      </w:r>
      <w:r w:rsidR="00D82688" w:rsidRPr="008D3C1A">
        <w:rPr>
          <w:sz w:val="22"/>
          <w:szCs w:val="22"/>
          <w:lang w:val="en-GB"/>
        </w:rPr>
        <w:t>-</w:t>
      </w:r>
      <w:r w:rsidR="009A3D49" w:rsidRPr="008D3C1A">
        <w:rPr>
          <w:sz w:val="22"/>
          <w:szCs w:val="22"/>
          <w:lang w:val="en-GB"/>
        </w:rPr>
        <w:t>environment</w:t>
      </w:r>
      <w:r w:rsidRPr="008D3C1A">
        <w:rPr>
          <w:sz w:val="22"/>
          <w:szCs w:val="22"/>
          <w:lang w:val="en-GB"/>
        </w:rPr>
        <w:t>that</w:t>
      </w:r>
      <w:r w:rsidR="005C4632" w:rsidRPr="008D3C1A">
        <w:rPr>
          <w:sz w:val="22"/>
          <w:szCs w:val="22"/>
          <w:lang w:val="en-GB"/>
        </w:rPr>
        <w:t xml:space="preserve"> Chile expanded its productive capacity in a sustainable manner </w:t>
      </w:r>
      <w:r w:rsidR="00C741AB" w:rsidRPr="008D3C1A">
        <w:rPr>
          <w:sz w:val="22"/>
          <w:szCs w:val="22"/>
          <w:lang w:val="en-GB"/>
        </w:rPr>
        <w:t>between 1990 and 1998</w:t>
      </w:r>
      <w:r w:rsidR="005C4632" w:rsidRPr="008D3C1A">
        <w:rPr>
          <w:sz w:val="22"/>
          <w:szCs w:val="22"/>
          <w:lang w:val="en-GB"/>
        </w:rPr>
        <w:t xml:space="preserve">, </w:t>
      </w:r>
      <w:r w:rsidR="00A367B7" w:rsidRPr="008D3C1A">
        <w:rPr>
          <w:sz w:val="22"/>
          <w:szCs w:val="22"/>
          <w:lang w:val="en-GB"/>
        </w:rPr>
        <w:t xml:space="preserve">with </w:t>
      </w:r>
      <w:r w:rsidR="00A1046D" w:rsidRPr="008D3C1A">
        <w:rPr>
          <w:sz w:val="22"/>
          <w:szCs w:val="22"/>
          <w:lang w:val="en-GB"/>
        </w:rPr>
        <w:t xml:space="preserve">actual and potential </w:t>
      </w:r>
      <w:r w:rsidR="00A367B7" w:rsidRPr="008D3C1A">
        <w:rPr>
          <w:sz w:val="22"/>
          <w:szCs w:val="22"/>
          <w:lang w:val="en-GB"/>
        </w:rPr>
        <w:t xml:space="preserve">GDP </w:t>
      </w:r>
      <w:r w:rsidR="005C4632" w:rsidRPr="008D3C1A">
        <w:rPr>
          <w:sz w:val="22"/>
          <w:szCs w:val="22"/>
          <w:lang w:val="en-GB"/>
        </w:rPr>
        <w:t xml:space="preserve">growing </w:t>
      </w:r>
      <w:r w:rsidR="00920DD3" w:rsidRPr="008D3C1A">
        <w:rPr>
          <w:sz w:val="22"/>
          <w:szCs w:val="22"/>
          <w:lang w:val="en-GB"/>
        </w:rPr>
        <w:t>in parallel</w:t>
      </w:r>
      <w:r w:rsidR="005C4632" w:rsidRPr="008D3C1A">
        <w:rPr>
          <w:sz w:val="22"/>
          <w:szCs w:val="22"/>
          <w:lang w:val="en-GB"/>
        </w:rPr>
        <w:t>at annual rates averaging 7.1</w:t>
      </w:r>
      <w:r w:rsidR="005024D3" w:rsidRPr="008D3C1A">
        <w:rPr>
          <w:sz w:val="22"/>
          <w:szCs w:val="22"/>
          <w:lang w:val="en-GB"/>
        </w:rPr>
        <w:t xml:space="preserve"> per cent</w:t>
      </w:r>
      <w:r w:rsidR="005C4632" w:rsidRPr="008D3C1A">
        <w:rPr>
          <w:sz w:val="22"/>
          <w:szCs w:val="22"/>
          <w:lang w:val="en-GB"/>
        </w:rPr>
        <w:t xml:space="preserve">, </w:t>
      </w:r>
      <w:r w:rsidR="002F5D48" w:rsidRPr="008D3C1A">
        <w:rPr>
          <w:sz w:val="22"/>
          <w:szCs w:val="22"/>
          <w:lang w:val="en-GB"/>
        </w:rPr>
        <w:t>while also improving</w:t>
      </w:r>
      <w:r w:rsidR="005C4632" w:rsidRPr="008D3C1A">
        <w:rPr>
          <w:sz w:val="22"/>
          <w:szCs w:val="22"/>
          <w:lang w:val="en-GB"/>
        </w:rPr>
        <w:t xml:space="preserve"> social indicators</w:t>
      </w:r>
      <w:r w:rsidR="009D2A05" w:rsidRPr="008D3C1A">
        <w:rPr>
          <w:sz w:val="22"/>
          <w:szCs w:val="22"/>
          <w:lang w:val="en-GB"/>
        </w:rPr>
        <w:t xml:space="preserve"> (table 1</w:t>
      </w:r>
      <w:r w:rsidR="005C54C7" w:rsidRPr="008D3C1A">
        <w:rPr>
          <w:sz w:val="22"/>
          <w:szCs w:val="22"/>
          <w:lang w:val="en-GB"/>
        </w:rPr>
        <w:t>)</w:t>
      </w:r>
      <w:r w:rsidR="005C4632" w:rsidRPr="008D3C1A">
        <w:rPr>
          <w:sz w:val="22"/>
          <w:szCs w:val="22"/>
          <w:lang w:val="en-GB"/>
        </w:rPr>
        <w:t>.</w:t>
      </w:r>
    </w:p>
    <w:p w:rsidR="002208C0" w:rsidRPr="008D3C1A" w:rsidRDefault="002208C0" w:rsidP="002208C0">
      <w:pPr>
        <w:spacing w:line="360" w:lineRule="auto"/>
        <w:jc w:val="both"/>
        <w:rPr>
          <w:sz w:val="22"/>
          <w:szCs w:val="22"/>
          <w:lang w:val="en-GB"/>
        </w:rPr>
      </w:pPr>
    </w:p>
    <w:p w:rsidR="005C4632" w:rsidRPr="008D3C1A" w:rsidRDefault="00D82688" w:rsidP="002208C0">
      <w:pPr>
        <w:spacing w:line="360" w:lineRule="auto"/>
        <w:jc w:val="center"/>
        <w:rPr>
          <w:b/>
          <w:i/>
          <w:sz w:val="22"/>
          <w:szCs w:val="22"/>
          <w:lang w:val="en-GB"/>
        </w:rPr>
      </w:pPr>
      <w:r w:rsidRPr="008D3C1A">
        <w:rPr>
          <w:b/>
          <w:i/>
          <w:sz w:val="22"/>
          <w:szCs w:val="22"/>
          <w:lang w:val="en-GB"/>
        </w:rPr>
        <w:t>Table 1</w:t>
      </w:r>
    </w:p>
    <w:p w:rsidR="002208C0" w:rsidRPr="008D3C1A" w:rsidRDefault="002208C0" w:rsidP="00AC15A7">
      <w:pPr>
        <w:spacing w:line="360" w:lineRule="auto"/>
        <w:ind w:firstLine="709"/>
        <w:jc w:val="both"/>
        <w:rPr>
          <w:sz w:val="22"/>
          <w:szCs w:val="22"/>
          <w:lang w:val="en-GB"/>
        </w:rPr>
      </w:pPr>
    </w:p>
    <w:p w:rsidR="009D2A05" w:rsidRPr="008D3C1A" w:rsidRDefault="005C4632" w:rsidP="00AC15A7">
      <w:pPr>
        <w:spacing w:after="120" w:line="360" w:lineRule="auto"/>
        <w:jc w:val="both"/>
        <w:rPr>
          <w:sz w:val="22"/>
          <w:szCs w:val="22"/>
          <w:lang w:val="en-GB"/>
        </w:rPr>
      </w:pPr>
      <w:r w:rsidRPr="008D3C1A">
        <w:rPr>
          <w:sz w:val="22"/>
          <w:szCs w:val="22"/>
          <w:lang w:val="en-GB"/>
        </w:rPr>
        <w:tab/>
      </w:r>
      <w:r w:rsidR="00A15A84" w:rsidRPr="008D3C1A">
        <w:rPr>
          <w:sz w:val="22"/>
          <w:szCs w:val="22"/>
          <w:lang w:val="en-GB"/>
        </w:rPr>
        <w:t>A</w:t>
      </w:r>
      <w:r w:rsidR="00322960" w:rsidRPr="008D3C1A">
        <w:rPr>
          <w:sz w:val="22"/>
          <w:szCs w:val="22"/>
          <w:lang w:val="en-GB"/>
        </w:rPr>
        <w:t>fter the mid-</w:t>
      </w:r>
      <w:r w:rsidR="00AF3BF1" w:rsidRPr="008D3C1A">
        <w:rPr>
          <w:sz w:val="22"/>
          <w:szCs w:val="22"/>
          <w:lang w:val="en-GB"/>
        </w:rPr>
        <w:t>1990s</w:t>
      </w:r>
      <w:r w:rsidR="00C46D94" w:rsidRPr="008D3C1A">
        <w:rPr>
          <w:sz w:val="22"/>
          <w:szCs w:val="22"/>
          <w:lang w:val="en-GB"/>
        </w:rPr>
        <w:t>,</w:t>
      </w:r>
      <w:r w:rsidR="00AF3BF1" w:rsidRPr="008D3C1A">
        <w:rPr>
          <w:sz w:val="22"/>
          <w:szCs w:val="22"/>
          <w:lang w:val="en-GB"/>
        </w:rPr>
        <w:t xml:space="preserve"> Chile (actually the autonomous Central Bank) gradually moved toward</w:t>
      </w:r>
      <w:r w:rsidR="002F5D48" w:rsidRPr="008D3C1A">
        <w:rPr>
          <w:sz w:val="22"/>
          <w:szCs w:val="22"/>
          <w:lang w:val="en-GB"/>
        </w:rPr>
        <w:t>s</w:t>
      </w:r>
      <w:r w:rsidR="00AF3BF1" w:rsidRPr="008D3C1A">
        <w:rPr>
          <w:sz w:val="22"/>
          <w:szCs w:val="22"/>
          <w:lang w:val="en-GB"/>
        </w:rPr>
        <w:t xml:space="preserve"> the neo-liberal fashion of capital account and exchange rate liberali</w:t>
      </w:r>
      <w:r w:rsidR="00EA5066" w:rsidRPr="008D3C1A">
        <w:rPr>
          <w:sz w:val="22"/>
          <w:szCs w:val="22"/>
          <w:lang w:val="en-GB"/>
        </w:rPr>
        <w:t>s</w:t>
      </w:r>
      <w:r w:rsidR="00AF3BF1" w:rsidRPr="008D3C1A">
        <w:rPr>
          <w:sz w:val="22"/>
          <w:szCs w:val="22"/>
          <w:lang w:val="en-GB"/>
        </w:rPr>
        <w:t>ation</w:t>
      </w:r>
      <w:r w:rsidR="002F5D48" w:rsidRPr="008D3C1A">
        <w:rPr>
          <w:sz w:val="22"/>
          <w:szCs w:val="22"/>
          <w:lang w:val="en-GB"/>
        </w:rPr>
        <w:t xml:space="preserve">.The </w:t>
      </w:r>
      <w:r w:rsidR="009D2A05" w:rsidRPr="008D3C1A">
        <w:rPr>
          <w:sz w:val="22"/>
          <w:szCs w:val="22"/>
          <w:lang w:val="en-GB"/>
        </w:rPr>
        <w:t xml:space="preserve">Treasury </w:t>
      </w:r>
      <w:r w:rsidR="00C91215" w:rsidRPr="008D3C1A">
        <w:rPr>
          <w:sz w:val="22"/>
          <w:szCs w:val="22"/>
          <w:lang w:val="en-GB"/>
        </w:rPr>
        <w:t>and the Min</w:t>
      </w:r>
      <w:r w:rsidR="004C6FFF" w:rsidRPr="008D3C1A">
        <w:rPr>
          <w:sz w:val="22"/>
          <w:szCs w:val="22"/>
          <w:lang w:val="en-GB"/>
        </w:rPr>
        <w:t xml:space="preserve">istry for the </w:t>
      </w:r>
      <w:r w:rsidR="00C91215" w:rsidRPr="008D3C1A">
        <w:rPr>
          <w:sz w:val="22"/>
          <w:szCs w:val="22"/>
          <w:lang w:val="en-GB"/>
        </w:rPr>
        <w:t>Econom</w:t>
      </w:r>
      <w:r w:rsidR="004C6FFF" w:rsidRPr="008D3C1A">
        <w:rPr>
          <w:sz w:val="22"/>
          <w:szCs w:val="22"/>
          <w:lang w:val="en-GB"/>
        </w:rPr>
        <w:t>y</w:t>
      </w:r>
      <w:r w:rsidR="009D2A05" w:rsidRPr="008D3C1A">
        <w:rPr>
          <w:sz w:val="22"/>
          <w:szCs w:val="22"/>
          <w:lang w:val="en-GB"/>
        </w:rPr>
        <w:t>w</w:t>
      </w:r>
      <w:r w:rsidR="00C91215" w:rsidRPr="008D3C1A">
        <w:rPr>
          <w:sz w:val="22"/>
          <w:szCs w:val="22"/>
          <w:lang w:val="en-GB"/>
        </w:rPr>
        <w:t>ere</w:t>
      </w:r>
      <w:r w:rsidR="002F5D48" w:rsidRPr="008D3C1A">
        <w:rPr>
          <w:sz w:val="22"/>
          <w:szCs w:val="22"/>
          <w:lang w:val="en-GB"/>
        </w:rPr>
        <w:t xml:space="preserve">initially </w:t>
      </w:r>
      <w:r w:rsidR="009D2A05" w:rsidRPr="008D3C1A">
        <w:rPr>
          <w:sz w:val="22"/>
          <w:szCs w:val="22"/>
          <w:lang w:val="en-GB"/>
        </w:rPr>
        <w:t xml:space="preserve">critical of the move, </w:t>
      </w:r>
      <w:r w:rsidR="002F5D48" w:rsidRPr="008D3C1A">
        <w:rPr>
          <w:sz w:val="22"/>
          <w:szCs w:val="22"/>
          <w:lang w:val="en-GB"/>
        </w:rPr>
        <w:t xml:space="preserve">although </w:t>
      </w:r>
      <w:r w:rsidR="00A15A84" w:rsidRPr="008D3C1A">
        <w:rPr>
          <w:sz w:val="22"/>
          <w:szCs w:val="22"/>
          <w:lang w:val="en-GB"/>
        </w:rPr>
        <w:t>some years la</w:t>
      </w:r>
      <w:r w:rsidR="009D2A05" w:rsidRPr="008D3C1A">
        <w:rPr>
          <w:sz w:val="22"/>
          <w:szCs w:val="22"/>
          <w:lang w:val="en-GB"/>
        </w:rPr>
        <w:t>ter</w:t>
      </w:r>
      <w:r w:rsidR="002F5D48" w:rsidRPr="008D3C1A">
        <w:rPr>
          <w:sz w:val="22"/>
          <w:szCs w:val="22"/>
          <w:lang w:val="en-GB"/>
        </w:rPr>
        <w:t xml:space="preserve"> the</w:t>
      </w:r>
      <w:r w:rsidR="009D2A05" w:rsidRPr="008D3C1A">
        <w:rPr>
          <w:sz w:val="22"/>
          <w:szCs w:val="22"/>
          <w:lang w:val="en-GB"/>
        </w:rPr>
        <w:t xml:space="preserve"> Treasury </w:t>
      </w:r>
      <w:r w:rsidR="002F5D48" w:rsidRPr="008D3C1A">
        <w:rPr>
          <w:sz w:val="22"/>
          <w:szCs w:val="22"/>
          <w:lang w:val="en-GB"/>
        </w:rPr>
        <w:t xml:space="preserve">also </w:t>
      </w:r>
      <w:r w:rsidR="00A15A84" w:rsidRPr="008D3C1A">
        <w:rPr>
          <w:sz w:val="22"/>
          <w:szCs w:val="22"/>
          <w:lang w:val="en-GB"/>
        </w:rPr>
        <w:t>j</w:t>
      </w:r>
      <w:r w:rsidR="009D2A05" w:rsidRPr="008D3C1A">
        <w:rPr>
          <w:sz w:val="22"/>
          <w:szCs w:val="22"/>
          <w:lang w:val="en-GB"/>
        </w:rPr>
        <w:t>o</w:t>
      </w:r>
      <w:r w:rsidR="00A15A84" w:rsidRPr="008D3C1A">
        <w:rPr>
          <w:sz w:val="22"/>
          <w:szCs w:val="22"/>
          <w:lang w:val="en-GB"/>
        </w:rPr>
        <w:t>in</w:t>
      </w:r>
      <w:r w:rsidR="009D2A05" w:rsidRPr="008D3C1A">
        <w:rPr>
          <w:sz w:val="22"/>
          <w:szCs w:val="22"/>
          <w:lang w:val="en-GB"/>
        </w:rPr>
        <w:t>ed the fashion</w:t>
      </w:r>
      <w:r w:rsidR="00AF3BF1" w:rsidRPr="008D3C1A">
        <w:rPr>
          <w:sz w:val="22"/>
          <w:szCs w:val="22"/>
          <w:lang w:val="en-GB"/>
        </w:rPr>
        <w:t xml:space="preserve">. </w:t>
      </w:r>
      <w:r w:rsidR="002F5D48" w:rsidRPr="008D3C1A">
        <w:rPr>
          <w:sz w:val="22"/>
          <w:szCs w:val="22"/>
          <w:lang w:val="en-GB"/>
        </w:rPr>
        <w:t>Consequently</w:t>
      </w:r>
      <w:r w:rsidR="00AF3BF1" w:rsidRPr="008D3C1A">
        <w:rPr>
          <w:sz w:val="22"/>
          <w:szCs w:val="22"/>
          <w:lang w:val="en-GB"/>
        </w:rPr>
        <w:t xml:space="preserve">, the exchange rate and domestic demand came to be led by financial flows and fell victim to their volatility. </w:t>
      </w:r>
      <w:r w:rsidR="00322960" w:rsidRPr="008D3C1A">
        <w:rPr>
          <w:sz w:val="22"/>
          <w:szCs w:val="22"/>
          <w:lang w:val="en-GB"/>
        </w:rPr>
        <w:t>Thus, Chile becam</w:t>
      </w:r>
      <w:r w:rsidR="00197E63" w:rsidRPr="008D3C1A">
        <w:rPr>
          <w:sz w:val="22"/>
          <w:szCs w:val="22"/>
          <w:lang w:val="en-GB"/>
        </w:rPr>
        <w:t xml:space="preserve">e vulnerable to the turbulences originated by the Asian crisis in 1998, </w:t>
      </w:r>
      <w:r w:rsidR="00322960" w:rsidRPr="008D3C1A">
        <w:rPr>
          <w:sz w:val="22"/>
          <w:szCs w:val="22"/>
          <w:lang w:val="en-GB"/>
        </w:rPr>
        <w:t xml:space="preserve">since </w:t>
      </w:r>
      <w:r w:rsidR="00197E63" w:rsidRPr="008D3C1A">
        <w:rPr>
          <w:sz w:val="22"/>
          <w:szCs w:val="22"/>
          <w:lang w:val="en-GB"/>
        </w:rPr>
        <w:t xml:space="preserve">it had allowed the exchange rate to appreciate “too much” and external deficit to double </w:t>
      </w:r>
      <w:r w:rsidR="00E454BF">
        <w:rPr>
          <w:sz w:val="22"/>
          <w:szCs w:val="22"/>
          <w:lang w:val="en-GB"/>
        </w:rPr>
        <w:t>in 1996-97 in comparison with 1990-95</w:t>
      </w:r>
      <w:r w:rsidR="00197E63" w:rsidRPr="008D3C1A">
        <w:rPr>
          <w:sz w:val="22"/>
          <w:szCs w:val="22"/>
          <w:lang w:val="en-GB"/>
        </w:rPr>
        <w:t xml:space="preserve">. </w:t>
      </w:r>
      <w:r w:rsidR="002F5D48" w:rsidRPr="008D3C1A">
        <w:rPr>
          <w:sz w:val="22"/>
          <w:szCs w:val="22"/>
          <w:lang w:val="en-GB"/>
        </w:rPr>
        <w:t xml:space="preserve">This was in acute </w:t>
      </w:r>
      <w:r w:rsidR="00197E63" w:rsidRPr="008D3C1A">
        <w:rPr>
          <w:sz w:val="22"/>
          <w:szCs w:val="22"/>
          <w:lang w:val="en-GB"/>
        </w:rPr>
        <w:t xml:space="preserve">contrast with the situation when Chile was </w:t>
      </w:r>
      <w:r w:rsidR="00681031" w:rsidRPr="008D3C1A">
        <w:rPr>
          <w:sz w:val="22"/>
          <w:szCs w:val="22"/>
          <w:lang w:val="en-GB"/>
        </w:rPr>
        <w:t>immune to</w:t>
      </w:r>
      <w:r w:rsidR="00197E63" w:rsidRPr="008D3C1A">
        <w:rPr>
          <w:sz w:val="22"/>
          <w:szCs w:val="22"/>
          <w:lang w:val="en-GB"/>
        </w:rPr>
        <w:t xml:space="preserve"> the Mexican </w:t>
      </w:r>
      <w:r w:rsidR="00920DD3" w:rsidRPr="008D3C1A">
        <w:rPr>
          <w:sz w:val="22"/>
          <w:szCs w:val="22"/>
          <w:lang w:val="en-GB"/>
        </w:rPr>
        <w:t>f</w:t>
      </w:r>
      <w:r w:rsidR="009D2A05" w:rsidRPr="008D3C1A">
        <w:rPr>
          <w:sz w:val="22"/>
          <w:szCs w:val="22"/>
          <w:lang w:val="en-GB"/>
        </w:rPr>
        <w:t>inancial crisis in 1995</w:t>
      </w:r>
      <w:r w:rsidR="00197E63" w:rsidRPr="008D3C1A">
        <w:rPr>
          <w:sz w:val="22"/>
          <w:szCs w:val="22"/>
          <w:lang w:val="en-GB"/>
        </w:rPr>
        <w:t xml:space="preserve">. </w:t>
      </w:r>
    </w:p>
    <w:p w:rsidR="009D2A05" w:rsidRPr="008D3C1A" w:rsidRDefault="00197E63" w:rsidP="00AC15A7">
      <w:pPr>
        <w:spacing w:after="120" w:line="360" w:lineRule="auto"/>
        <w:ind w:firstLine="708"/>
        <w:jc w:val="both"/>
        <w:rPr>
          <w:sz w:val="22"/>
          <w:szCs w:val="22"/>
          <w:lang w:val="en-GB"/>
        </w:rPr>
      </w:pPr>
      <w:r w:rsidRPr="008D3C1A">
        <w:rPr>
          <w:sz w:val="22"/>
          <w:szCs w:val="22"/>
          <w:lang w:val="en-GB"/>
        </w:rPr>
        <w:t xml:space="preserve">Vulnerability was aggravated with the full </w:t>
      </w:r>
      <w:r w:rsidR="002F5D48" w:rsidRPr="008D3C1A">
        <w:rPr>
          <w:sz w:val="22"/>
          <w:szCs w:val="22"/>
          <w:lang w:val="en-GB"/>
        </w:rPr>
        <w:t xml:space="preserve">liberalisation </w:t>
      </w:r>
      <w:r w:rsidR="009D2A05" w:rsidRPr="008D3C1A">
        <w:rPr>
          <w:sz w:val="22"/>
          <w:szCs w:val="22"/>
          <w:lang w:val="en-GB"/>
        </w:rPr>
        <w:t xml:space="preserve">of the exchange rate (in </w:t>
      </w:r>
      <w:r w:rsidRPr="008D3C1A">
        <w:rPr>
          <w:sz w:val="22"/>
          <w:szCs w:val="22"/>
          <w:lang w:val="en-GB"/>
        </w:rPr>
        <w:t xml:space="preserve">1999) and the capital account (in 2001). </w:t>
      </w:r>
      <w:r w:rsidR="002F5D48" w:rsidRPr="008D3C1A">
        <w:rPr>
          <w:sz w:val="22"/>
          <w:szCs w:val="22"/>
          <w:lang w:val="en-GB"/>
        </w:rPr>
        <w:t>Subsequently</w:t>
      </w:r>
      <w:r w:rsidRPr="008D3C1A">
        <w:rPr>
          <w:sz w:val="22"/>
          <w:szCs w:val="22"/>
          <w:lang w:val="en-GB"/>
        </w:rPr>
        <w:t xml:space="preserve">, the economy exhibited a stagnating actual output and a drop in the growth of potential GDP </w:t>
      </w:r>
      <w:r w:rsidR="002F5D48" w:rsidRPr="008D3C1A">
        <w:rPr>
          <w:sz w:val="22"/>
          <w:szCs w:val="22"/>
          <w:lang w:val="en-GB"/>
        </w:rPr>
        <w:t>during</w:t>
      </w:r>
      <w:r w:rsidRPr="008D3C1A">
        <w:rPr>
          <w:sz w:val="22"/>
          <w:szCs w:val="22"/>
          <w:lang w:val="en-GB"/>
        </w:rPr>
        <w:t xml:space="preserve"> 1999</w:t>
      </w:r>
      <w:r w:rsidR="005024D3" w:rsidRPr="008D3C1A">
        <w:rPr>
          <w:sz w:val="22"/>
          <w:szCs w:val="22"/>
          <w:lang w:val="en-GB"/>
        </w:rPr>
        <w:t>–</w:t>
      </w:r>
      <w:r w:rsidRPr="008D3C1A">
        <w:rPr>
          <w:sz w:val="22"/>
          <w:szCs w:val="22"/>
          <w:lang w:val="en-GB"/>
        </w:rPr>
        <w:t>2003</w:t>
      </w:r>
      <w:r w:rsidR="002F5D48" w:rsidRPr="008D3C1A">
        <w:rPr>
          <w:sz w:val="22"/>
          <w:szCs w:val="22"/>
          <w:lang w:val="en-GB"/>
        </w:rPr>
        <w:t>, when</w:t>
      </w:r>
      <w:r w:rsidR="00DF2C69" w:rsidRPr="008D3C1A">
        <w:rPr>
          <w:sz w:val="22"/>
          <w:szCs w:val="22"/>
          <w:lang w:val="en-GB"/>
        </w:rPr>
        <w:t xml:space="preserve"> unemployment </w:t>
      </w:r>
      <w:r w:rsidR="002F5D48" w:rsidRPr="008D3C1A">
        <w:rPr>
          <w:sz w:val="22"/>
          <w:szCs w:val="22"/>
          <w:lang w:val="en-GB"/>
        </w:rPr>
        <w:t xml:space="preserve">andricher/poorer quintiles </w:t>
      </w:r>
      <w:r w:rsidR="00DF2C69" w:rsidRPr="008D3C1A">
        <w:rPr>
          <w:sz w:val="22"/>
          <w:szCs w:val="22"/>
          <w:lang w:val="en-GB"/>
        </w:rPr>
        <w:t>ratio (back to 16</w:t>
      </w:r>
      <w:r w:rsidR="00A15A84" w:rsidRPr="008D3C1A">
        <w:rPr>
          <w:sz w:val="22"/>
          <w:szCs w:val="22"/>
          <w:lang w:val="en-GB"/>
        </w:rPr>
        <w:t xml:space="preserve"> times</w:t>
      </w:r>
      <w:r w:rsidR="00DF2C69" w:rsidRPr="008D3C1A">
        <w:rPr>
          <w:sz w:val="22"/>
          <w:szCs w:val="22"/>
          <w:lang w:val="en-GB"/>
        </w:rPr>
        <w:t>)</w:t>
      </w:r>
      <w:r w:rsidR="002F5D48" w:rsidRPr="008D3C1A">
        <w:rPr>
          <w:sz w:val="22"/>
          <w:szCs w:val="22"/>
          <w:lang w:val="en-GB"/>
        </w:rPr>
        <w:t xml:space="preserve"> rose</w:t>
      </w:r>
      <w:r w:rsidRPr="008D3C1A">
        <w:rPr>
          <w:sz w:val="22"/>
          <w:szCs w:val="22"/>
          <w:lang w:val="en-GB"/>
        </w:rPr>
        <w:t>. After a partial recovery in 2004</w:t>
      </w:r>
      <w:r w:rsidR="005024D3" w:rsidRPr="008D3C1A">
        <w:rPr>
          <w:sz w:val="22"/>
          <w:szCs w:val="22"/>
          <w:lang w:val="en-GB"/>
        </w:rPr>
        <w:t>–</w:t>
      </w:r>
      <w:r w:rsidRPr="008D3C1A">
        <w:rPr>
          <w:sz w:val="22"/>
          <w:szCs w:val="22"/>
          <w:lang w:val="en-GB"/>
        </w:rPr>
        <w:t xml:space="preserve">08, </w:t>
      </w:r>
      <w:r w:rsidR="00322960" w:rsidRPr="008D3C1A">
        <w:rPr>
          <w:sz w:val="22"/>
          <w:szCs w:val="22"/>
          <w:lang w:val="en-GB"/>
        </w:rPr>
        <w:t xml:space="preserve">led by a sharp improvement in the terms of trade, </w:t>
      </w:r>
      <w:r w:rsidRPr="008D3C1A">
        <w:rPr>
          <w:sz w:val="22"/>
          <w:szCs w:val="22"/>
          <w:lang w:val="en-GB"/>
        </w:rPr>
        <w:t>it suffered the arrival of the contagion of the global crisis in late 2008 and 2009.</w:t>
      </w:r>
      <w:r w:rsidR="00322960" w:rsidRPr="008D3C1A">
        <w:rPr>
          <w:sz w:val="22"/>
          <w:szCs w:val="22"/>
          <w:lang w:val="en-GB"/>
        </w:rPr>
        <w:t xml:space="preserve">Export volumes and prices fell and capital inflows were reversed. </w:t>
      </w:r>
      <w:r w:rsidR="00061186" w:rsidRPr="008D3C1A">
        <w:rPr>
          <w:sz w:val="22"/>
          <w:szCs w:val="22"/>
          <w:lang w:val="en-GB"/>
        </w:rPr>
        <w:t xml:space="preserve">Thanks to a sharply improved domestic macroeconomic management, with </w:t>
      </w:r>
      <w:r w:rsidR="00A15A84" w:rsidRPr="008D3C1A">
        <w:rPr>
          <w:sz w:val="22"/>
          <w:szCs w:val="22"/>
          <w:lang w:val="en-GB"/>
        </w:rPr>
        <w:t xml:space="preserve">strong counter-cyclical fiscal policy and </w:t>
      </w:r>
      <w:r w:rsidR="00061186" w:rsidRPr="008D3C1A">
        <w:rPr>
          <w:sz w:val="22"/>
          <w:szCs w:val="22"/>
          <w:lang w:val="en-GB"/>
        </w:rPr>
        <w:t>a progressive bias</w:t>
      </w:r>
      <w:r w:rsidR="008D331E" w:rsidRPr="008D3C1A">
        <w:rPr>
          <w:sz w:val="22"/>
          <w:szCs w:val="22"/>
          <w:lang w:val="en-GB"/>
        </w:rPr>
        <w:t xml:space="preserve"> (subsidies to youth employment and </w:t>
      </w:r>
      <w:r w:rsidR="0012520E" w:rsidRPr="008D3C1A">
        <w:rPr>
          <w:sz w:val="22"/>
          <w:szCs w:val="22"/>
          <w:lang w:val="en-GB"/>
        </w:rPr>
        <w:t>the</w:t>
      </w:r>
      <w:r w:rsidR="008D331E" w:rsidRPr="008D3C1A">
        <w:rPr>
          <w:sz w:val="22"/>
          <w:szCs w:val="22"/>
          <w:lang w:val="en-GB"/>
        </w:rPr>
        <w:t>unemployed)</w:t>
      </w:r>
      <w:r w:rsidR="00061186" w:rsidRPr="008D3C1A">
        <w:rPr>
          <w:sz w:val="22"/>
          <w:szCs w:val="22"/>
          <w:lang w:val="en-GB"/>
        </w:rPr>
        <w:t xml:space="preserve">, </w:t>
      </w:r>
      <w:r w:rsidR="002F5D48" w:rsidRPr="008D3C1A">
        <w:rPr>
          <w:sz w:val="22"/>
          <w:szCs w:val="22"/>
          <w:lang w:val="en-GB"/>
        </w:rPr>
        <w:t xml:space="preserve">as well as </w:t>
      </w:r>
      <w:r w:rsidR="00061186" w:rsidRPr="008D3C1A">
        <w:rPr>
          <w:sz w:val="22"/>
          <w:szCs w:val="22"/>
          <w:lang w:val="en-GB"/>
        </w:rPr>
        <w:t>the fortunate help of a rapid recovery of export prices, there was a solid revival of economic activity</w:t>
      </w:r>
      <w:r w:rsidR="002F5D48" w:rsidRPr="008D3C1A">
        <w:rPr>
          <w:sz w:val="22"/>
          <w:szCs w:val="22"/>
          <w:lang w:val="en-GB"/>
        </w:rPr>
        <w:t xml:space="preserve"> by late 2009</w:t>
      </w:r>
      <w:r w:rsidR="00061186" w:rsidRPr="008D3C1A">
        <w:rPr>
          <w:sz w:val="22"/>
          <w:szCs w:val="22"/>
          <w:lang w:val="en-GB"/>
        </w:rPr>
        <w:t xml:space="preserve">. </w:t>
      </w:r>
    </w:p>
    <w:p w:rsidR="00061186" w:rsidRPr="008D3C1A" w:rsidRDefault="004C742D" w:rsidP="00AC15A7">
      <w:pPr>
        <w:spacing w:after="120" w:line="360" w:lineRule="auto"/>
        <w:ind w:firstLine="708"/>
        <w:jc w:val="both"/>
        <w:rPr>
          <w:sz w:val="22"/>
          <w:szCs w:val="22"/>
          <w:lang w:val="en-GB"/>
        </w:rPr>
      </w:pPr>
      <w:r w:rsidRPr="008D3C1A">
        <w:rPr>
          <w:sz w:val="22"/>
          <w:szCs w:val="22"/>
          <w:lang w:val="en-GB"/>
        </w:rPr>
        <w:t>Recovery was undeterred by</w:t>
      </w:r>
      <w:r w:rsidR="00061186" w:rsidRPr="008D3C1A">
        <w:rPr>
          <w:sz w:val="22"/>
          <w:szCs w:val="22"/>
          <w:lang w:val="en-GB"/>
        </w:rPr>
        <w:t xml:space="preserve"> a gr</w:t>
      </w:r>
      <w:r w:rsidR="008D331E" w:rsidRPr="008D3C1A">
        <w:rPr>
          <w:sz w:val="22"/>
          <w:szCs w:val="22"/>
          <w:lang w:val="en-GB"/>
        </w:rPr>
        <w:t>eat</w:t>
      </w:r>
      <w:r w:rsidR="00061186" w:rsidRPr="008D3C1A">
        <w:rPr>
          <w:sz w:val="22"/>
          <w:szCs w:val="22"/>
          <w:lang w:val="en-GB"/>
        </w:rPr>
        <w:t xml:space="preserve"> earthquake in 2010, </w:t>
      </w:r>
      <w:r w:rsidR="00610291">
        <w:rPr>
          <w:sz w:val="22"/>
          <w:szCs w:val="22"/>
          <w:lang w:val="en-GB"/>
        </w:rPr>
        <w:t xml:space="preserve">thus </w:t>
      </w:r>
      <w:r w:rsidR="00061186" w:rsidRPr="008D3C1A">
        <w:rPr>
          <w:sz w:val="22"/>
          <w:szCs w:val="22"/>
          <w:lang w:val="en-GB"/>
        </w:rPr>
        <w:t>pushing actual GDP near its potential output by 2012</w:t>
      </w:r>
      <w:r w:rsidR="008D3C1A" w:rsidRPr="008D3C1A">
        <w:rPr>
          <w:sz w:val="22"/>
          <w:szCs w:val="22"/>
          <w:lang w:val="en-GB"/>
        </w:rPr>
        <w:t xml:space="preserve">. </w:t>
      </w:r>
      <w:r w:rsidR="00061186" w:rsidRPr="008D3C1A">
        <w:rPr>
          <w:sz w:val="22"/>
          <w:szCs w:val="22"/>
          <w:lang w:val="en-GB"/>
        </w:rPr>
        <w:t>The average increase in GDP was 3.9</w:t>
      </w:r>
      <w:r w:rsidR="005024D3" w:rsidRPr="008D3C1A">
        <w:rPr>
          <w:sz w:val="22"/>
          <w:szCs w:val="22"/>
          <w:lang w:val="en-GB"/>
        </w:rPr>
        <w:t xml:space="preserve"> per cent</w:t>
      </w:r>
      <w:r w:rsidR="00061186" w:rsidRPr="008D3C1A">
        <w:rPr>
          <w:sz w:val="22"/>
          <w:szCs w:val="22"/>
          <w:lang w:val="en-GB"/>
        </w:rPr>
        <w:t xml:space="preserve"> between its peak</w:t>
      </w:r>
      <w:r w:rsidR="00532464">
        <w:rPr>
          <w:sz w:val="22"/>
          <w:szCs w:val="22"/>
          <w:lang w:val="en-GB"/>
        </w:rPr>
        <w:t>s</w:t>
      </w:r>
      <w:r w:rsidR="00061186" w:rsidRPr="008D3C1A">
        <w:rPr>
          <w:sz w:val="22"/>
          <w:szCs w:val="22"/>
          <w:lang w:val="en-GB"/>
        </w:rPr>
        <w:t xml:space="preserve"> in </w:t>
      </w:r>
      <w:r w:rsidR="00061186" w:rsidRPr="008D3C1A">
        <w:rPr>
          <w:sz w:val="22"/>
          <w:szCs w:val="22"/>
          <w:lang w:val="en-GB"/>
        </w:rPr>
        <w:lastRenderedPageBreak/>
        <w:t xml:space="preserve">1998 </w:t>
      </w:r>
      <w:r w:rsidRPr="008D3C1A">
        <w:rPr>
          <w:sz w:val="22"/>
          <w:szCs w:val="22"/>
          <w:lang w:val="en-GB"/>
        </w:rPr>
        <w:t>and</w:t>
      </w:r>
      <w:r w:rsidR="00061186" w:rsidRPr="008D3C1A">
        <w:rPr>
          <w:sz w:val="22"/>
          <w:szCs w:val="22"/>
          <w:lang w:val="en-GB"/>
        </w:rPr>
        <w:t xml:space="preserve"> 2013.</w:t>
      </w:r>
      <w:r w:rsidR="00061186" w:rsidRPr="008D3C1A">
        <w:rPr>
          <w:rStyle w:val="Refdenotaalpie"/>
          <w:sz w:val="22"/>
          <w:szCs w:val="22"/>
          <w:lang w:val="en-GB"/>
        </w:rPr>
        <w:footnoteReference w:id="5"/>
      </w:r>
      <w:r w:rsidRPr="008D3C1A">
        <w:rPr>
          <w:sz w:val="22"/>
          <w:szCs w:val="22"/>
          <w:lang w:val="en-GB"/>
        </w:rPr>
        <w:t xml:space="preserve">While this </w:t>
      </w:r>
      <w:r w:rsidR="00061186" w:rsidRPr="008D3C1A">
        <w:rPr>
          <w:sz w:val="22"/>
          <w:szCs w:val="22"/>
          <w:lang w:val="en-GB"/>
        </w:rPr>
        <w:t xml:space="preserve">figure </w:t>
      </w:r>
      <w:r w:rsidRPr="008D3C1A">
        <w:rPr>
          <w:sz w:val="22"/>
          <w:szCs w:val="22"/>
          <w:lang w:val="en-GB"/>
        </w:rPr>
        <w:t xml:space="preserve">was </w:t>
      </w:r>
      <w:r w:rsidR="00061186" w:rsidRPr="008D3C1A">
        <w:rPr>
          <w:sz w:val="22"/>
          <w:szCs w:val="22"/>
          <w:lang w:val="en-GB"/>
        </w:rPr>
        <w:t>greater than the 2.9</w:t>
      </w:r>
      <w:r w:rsidR="005024D3" w:rsidRPr="008D3C1A">
        <w:rPr>
          <w:sz w:val="22"/>
          <w:szCs w:val="22"/>
          <w:lang w:val="en-GB"/>
        </w:rPr>
        <w:t xml:space="preserve"> per cent</w:t>
      </w:r>
      <w:r w:rsidR="00061186" w:rsidRPr="008D3C1A">
        <w:rPr>
          <w:sz w:val="22"/>
          <w:szCs w:val="22"/>
          <w:lang w:val="en-GB"/>
        </w:rPr>
        <w:t xml:space="preserve"> of the dictatorship, </w:t>
      </w:r>
      <w:r w:rsidRPr="008D3C1A">
        <w:rPr>
          <w:sz w:val="22"/>
          <w:szCs w:val="22"/>
          <w:lang w:val="en-GB"/>
        </w:rPr>
        <w:t xml:space="preserve">it remained </w:t>
      </w:r>
      <w:r w:rsidR="00532464">
        <w:rPr>
          <w:sz w:val="22"/>
          <w:szCs w:val="22"/>
          <w:lang w:val="en-GB"/>
        </w:rPr>
        <w:t xml:space="preserve">far </w:t>
      </w:r>
      <w:r w:rsidRPr="008D3C1A">
        <w:rPr>
          <w:sz w:val="22"/>
          <w:szCs w:val="22"/>
          <w:lang w:val="en-GB"/>
        </w:rPr>
        <w:t>weaker</w:t>
      </w:r>
      <w:r w:rsidR="00061186" w:rsidRPr="008D3C1A">
        <w:rPr>
          <w:sz w:val="22"/>
          <w:szCs w:val="22"/>
          <w:lang w:val="en-GB"/>
        </w:rPr>
        <w:t xml:space="preserve"> than the 7.1</w:t>
      </w:r>
      <w:r w:rsidR="005024D3" w:rsidRPr="008D3C1A">
        <w:rPr>
          <w:sz w:val="22"/>
          <w:szCs w:val="22"/>
          <w:lang w:val="en-GB"/>
        </w:rPr>
        <w:t xml:space="preserve"> per cent</w:t>
      </w:r>
      <w:r w:rsidRPr="008D3C1A">
        <w:rPr>
          <w:sz w:val="22"/>
          <w:szCs w:val="22"/>
          <w:lang w:val="en-GB"/>
        </w:rPr>
        <w:t>recorded during</w:t>
      </w:r>
      <w:r w:rsidR="00061186" w:rsidRPr="008D3C1A">
        <w:rPr>
          <w:sz w:val="22"/>
          <w:szCs w:val="22"/>
          <w:lang w:val="en-GB"/>
        </w:rPr>
        <w:t xml:space="preserve"> the first nine years of democratic regimes. </w:t>
      </w:r>
    </w:p>
    <w:p w:rsidR="006E5F39" w:rsidRPr="008D3C1A" w:rsidRDefault="00B11D1B" w:rsidP="00AC15A7">
      <w:pPr>
        <w:spacing w:line="360" w:lineRule="auto"/>
        <w:ind w:firstLine="708"/>
        <w:jc w:val="both"/>
        <w:rPr>
          <w:sz w:val="22"/>
          <w:szCs w:val="22"/>
          <w:lang w:val="en-GB"/>
        </w:rPr>
      </w:pPr>
      <w:r w:rsidRPr="008D3C1A">
        <w:rPr>
          <w:sz w:val="22"/>
          <w:szCs w:val="22"/>
          <w:lang w:val="en-GB"/>
        </w:rPr>
        <w:t xml:space="preserve">The fluctuating growth dynamism implies a variable development gap with the developed economies. </w:t>
      </w:r>
      <w:r w:rsidR="004C742D" w:rsidRPr="008D3C1A">
        <w:rPr>
          <w:sz w:val="22"/>
          <w:szCs w:val="22"/>
          <w:lang w:val="en-GB"/>
        </w:rPr>
        <w:t xml:space="preserve">Indeed, table </w:t>
      </w:r>
      <w:r w:rsidR="00681031" w:rsidRPr="008D3C1A">
        <w:rPr>
          <w:sz w:val="22"/>
          <w:szCs w:val="22"/>
          <w:lang w:val="en-GB"/>
        </w:rPr>
        <w:t>2</w:t>
      </w:r>
      <w:r w:rsidR="003A217D" w:rsidRPr="008D3C1A">
        <w:rPr>
          <w:sz w:val="22"/>
          <w:szCs w:val="22"/>
          <w:lang w:val="en-GB"/>
        </w:rPr>
        <w:t xml:space="preserve">shows </w:t>
      </w:r>
      <w:r w:rsidRPr="008D3C1A">
        <w:rPr>
          <w:sz w:val="22"/>
          <w:szCs w:val="22"/>
          <w:lang w:val="en-GB"/>
        </w:rPr>
        <w:t xml:space="preserve">that the gap with </w:t>
      </w:r>
      <w:r w:rsidR="00FA4087" w:rsidRPr="008D3C1A">
        <w:rPr>
          <w:sz w:val="22"/>
          <w:szCs w:val="22"/>
          <w:lang w:val="en-GB"/>
        </w:rPr>
        <w:t>developed</w:t>
      </w:r>
      <w:r w:rsidRPr="008D3C1A">
        <w:rPr>
          <w:sz w:val="22"/>
          <w:szCs w:val="22"/>
          <w:lang w:val="en-GB"/>
        </w:rPr>
        <w:t xml:space="preserve">countries increased during the dictatorship. </w:t>
      </w:r>
      <w:r w:rsidR="002F27BE" w:rsidRPr="008D3C1A">
        <w:rPr>
          <w:sz w:val="22"/>
          <w:szCs w:val="22"/>
          <w:lang w:val="en-GB"/>
        </w:rPr>
        <w:t>On the contrary, t</w:t>
      </w:r>
      <w:r w:rsidRPr="008D3C1A">
        <w:rPr>
          <w:sz w:val="22"/>
          <w:szCs w:val="22"/>
          <w:lang w:val="en-GB"/>
        </w:rPr>
        <w:t xml:space="preserve">he </w:t>
      </w:r>
      <w:r w:rsidR="008D331E" w:rsidRPr="008D3C1A">
        <w:rPr>
          <w:sz w:val="22"/>
          <w:szCs w:val="22"/>
          <w:lang w:val="en-GB"/>
        </w:rPr>
        <w:t xml:space="preserve">rather </w:t>
      </w:r>
      <w:r w:rsidRPr="008D3C1A">
        <w:rPr>
          <w:sz w:val="22"/>
          <w:szCs w:val="22"/>
          <w:lang w:val="en-GB"/>
        </w:rPr>
        <w:t xml:space="preserve">good average performance in the two and half decades of democracy implied that Chile </w:t>
      </w:r>
      <w:r w:rsidR="004C742D" w:rsidRPr="008D3C1A">
        <w:rPr>
          <w:sz w:val="22"/>
          <w:szCs w:val="22"/>
          <w:lang w:val="en-GB"/>
        </w:rPr>
        <w:t xml:space="preserve">had  reduced </w:t>
      </w:r>
      <w:r w:rsidRPr="008D3C1A">
        <w:rPr>
          <w:sz w:val="22"/>
          <w:szCs w:val="22"/>
          <w:lang w:val="en-GB"/>
        </w:rPr>
        <w:t>the distance with the developed world</w:t>
      </w:r>
      <w:r w:rsidR="008D331E" w:rsidRPr="008D3C1A">
        <w:rPr>
          <w:sz w:val="22"/>
          <w:szCs w:val="22"/>
          <w:lang w:val="en-GB"/>
        </w:rPr>
        <w:t xml:space="preserve"> and left behind most of Latin America</w:t>
      </w:r>
      <w:r w:rsidR="004C742D" w:rsidRPr="008D3C1A">
        <w:rPr>
          <w:sz w:val="22"/>
          <w:szCs w:val="22"/>
          <w:lang w:val="en-GB"/>
        </w:rPr>
        <w:t>,</w:t>
      </w:r>
      <w:r w:rsidR="008D331E" w:rsidRPr="008D3C1A">
        <w:rPr>
          <w:sz w:val="22"/>
          <w:szCs w:val="22"/>
          <w:lang w:val="en-GB"/>
        </w:rPr>
        <w:t xml:space="preserve"> as depicted in </w:t>
      </w:r>
      <w:r w:rsidR="00EB25E9" w:rsidRPr="008D3C1A">
        <w:rPr>
          <w:sz w:val="22"/>
          <w:szCs w:val="22"/>
          <w:lang w:val="en-GB"/>
        </w:rPr>
        <w:t xml:space="preserve">table </w:t>
      </w:r>
      <w:r w:rsidR="008847CD" w:rsidRPr="008D3C1A">
        <w:rPr>
          <w:rFonts w:eastAsia="Calibri"/>
          <w:sz w:val="22"/>
          <w:szCs w:val="22"/>
          <w:lang w:val="en-GB"/>
        </w:rPr>
        <w:t>2</w:t>
      </w:r>
      <w:r w:rsidRPr="008D3C1A">
        <w:rPr>
          <w:sz w:val="22"/>
          <w:szCs w:val="22"/>
          <w:lang w:val="en-GB"/>
        </w:rPr>
        <w:t>. Nevertheless, this performance was not continuous. As shown</w:t>
      </w:r>
      <w:r w:rsidR="00147FB5" w:rsidRPr="008D3C1A">
        <w:rPr>
          <w:sz w:val="22"/>
          <w:szCs w:val="22"/>
          <w:lang w:val="en-GB"/>
        </w:rPr>
        <w:t xml:space="preserve"> in table 1</w:t>
      </w:r>
      <w:r w:rsidRPr="008D3C1A">
        <w:rPr>
          <w:sz w:val="22"/>
          <w:szCs w:val="22"/>
          <w:lang w:val="en-GB"/>
        </w:rPr>
        <w:t xml:space="preserve">, </w:t>
      </w:r>
      <w:r w:rsidR="008D331E" w:rsidRPr="008D3C1A">
        <w:rPr>
          <w:sz w:val="22"/>
          <w:szCs w:val="22"/>
          <w:lang w:val="en-GB"/>
        </w:rPr>
        <w:t xml:space="preserve">only </w:t>
      </w:r>
      <w:r w:rsidRPr="008D3C1A">
        <w:rPr>
          <w:sz w:val="22"/>
          <w:szCs w:val="22"/>
          <w:lang w:val="en-GB"/>
        </w:rPr>
        <w:t xml:space="preserve">the first </w:t>
      </w:r>
      <w:r w:rsidR="00147FB5" w:rsidRPr="008D3C1A">
        <w:rPr>
          <w:sz w:val="22"/>
          <w:szCs w:val="22"/>
          <w:lang w:val="en-GB"/>
        </w:rPr>
        <w:t xml:space="preserve">short </w:t>
      </w:r>
      <w:r w:rsidRPr="008D3C1A">
        <w:rPr>
          <w:sz w:val="22"/>
          <w:szCs w:val="22"/>
          <w:lang w:val="en-GB"/>
        </w:rPr>
        <w:t>half of the period (1990</w:t>
      </w:r>
      <w:r w:rsidR="005024D3" w:rsidRPr="008D3C1A">
        <w:rPr>
          <w:sz w:val="22"/>
          <w:szCs w:val="22"/>
          <w:lang w:val="en-GB"/>
        </w:rPr>
        <w:t>–</w:t>
      </w:r>
      <w:r w:rsidRPr="008D3C1A">
        <w:rPr>
          <w:sz w:val="22"/>
          <w:szCs w:val="22"/>
          <w:lang w:val="en-GB"/>
        </w:rPr>
        <w:t xml:space="preserve">98) involved a vigorous </w:t>
      </w:r>
      <w:r w:rsidR="00532C68" w:rsidRPr="008D3C1A">
        <w:rPr>
          <w:sz w:val="22"/>
          <w:szCs w:val="22"/>
          <w:lang w:val="en-GB"/>
        </w:rPr>
        <w:t xml:space="preserve">GDP per capita </w:t>
      </w:r>
      <w:r w:rsidRPr="008D3C1A">
        <w:rPr>
          <w:sz w:val="22"/>
          <w:szCs w:val="22"/>
          <w:lang w:val="en-GB"/>
        </w:rPr>
        <w:t>growth (tripling the speed of the US</w:t>
      </w:r>
      <w:r w:rsidR="00532C68" w:rsidRPr="008D3C1A">
        <w:rPr>
          <w:sz w:val="22"/>
          <w:szCs w:val="22"/>
          <w:lang w:val="en-GB"/>
        </w:rPr>
        <w:t>A</w:t>
      </w:r>
      <w:r w:rsidRPr="008D3C1A">
        <w:rPr>
          <w:sz w:val="22"/>
          <w:szCs w:val="22"/>
          <w:lang w:val="en-GB"/>
        </w:rPr>
        <w:t xml:space="preserve">), with a strong </w:t>
      </w:r>
      <w:r w:rsidRPr="008D3C1A">
        <w:rPr>
          <w:i/>
          <w:sz w:val="22"/>
          <w:szCs w:val="22"/>
          <w:lang w:val="en-GB"/>
        </w:rPr>
        <w:t>development convergence</w:t>
      </w:r>
      <w:r w:rsidRPr="008D3C1A">
        <w:rPr>
          <w:sz w:val="22"/>
          <w:szCs w:val="22"/>
          <w:lang w:val="en-GB"/>
        </w:rPr>
        <w:t xml:space="preserve"> with the developed countries (the </w:t>
      </w:r>
      <w:r w:rsidR="00532C68" w:rsidRPr="008D3C1A">
        <w:rPr>
          <w:sz w:val="22"/>
          <w:szCs w:val="22"/>
          <w:lang w:val="en-GB"/>
        </w:rPr>
        <w:t xml:space="preserve">per capita income </w:t>
      </w:r>
      <w:r w:rsidRPr="008D3C1A">
        <w:rPr>
          <w:sz w:val="22"/>
          <w:szCs w:val="22"/>
          <w:lang w:val="en-GB"/>
        </w:rPr>
        <w:t xml:space="preserve">gap fell </w:t>
      </w:r>
      <w:r w:rsidR="00532C68" w:rsidRPr="008D3C1A">
        <w:rPr>
          <w:sz w:val="22"/>
          <w:szCs w:val="22"/>
          <w:lang w:val="en-GB"/>
        </w:rPr>
        <w:t xml:space="preserve">by </w:t>
      </w:r>
      <w:r w:rsidRPr="008D3C1A">
        <w:rPr>
          <w:sz w:val="22"/>
          <w:szCs w:val="22"/>
          <w:lang w:val="en-GB"/>
        </w:rPr>
        <w:t>one percentage point per year</w:t>
      </w:r>
      <w:r w:rsidR="00532C68" w:rsidRPr="008D3C1A">
        <w:rPr>
          <w:sz w:val="22"/>
          <w:szCs w:val="22"/>
          <w:lang w:val="en-GB"/>
        </w:rPr>
        <w:t>)</w:t>
      </w:r>
      <w:r w:rsidRPr="008D3C1A">
        <w:rPr>
          <w:sz w:val="22"/>
          <w:szCs w:val="22"/>
          <w:lang w:val="en-GB"/>
        </w:rPr>
        <w:t xml:space="preserve">, including a </w:t>
      </w:r>
      <w:r w:rsidR="008D331E" w:rsidRPr="008D3C1A">
        <w:rPr>
          <w:sz w:val="22"/>
          <w:szCs w:val="22"/>
          <w:lang w:val="en-GB"/>
        </w:rPr>
        <w:t xml:space="preserve">significant </w:t>
      </w:r>
      <w:r w:rsidRPr="008D3C1A">
        <w:rPr>
          <w:sz w:val="22"/>
          <w:szCs w:val="22"/>
          <w:lang w:val="en-GB"/>
        </w:rPr>
        <w:t>reduction in income inequality</w:t>
      </w:r>
      <w:r w:rsidR="008D331E" w:rsidRPr="008D3C1A">
        <w:rPr>
          <w:sz w:val="22"/>
          <w:szCs w:val="22"/>
          <w:lang w:val="en-GB"/>
        </w:rPr>
        <w:t xml:space="preserve"> with improvements in income distribution (to a </w:t>
      </w:r>
      <w:r w:rsidR="00EB25E9" w:rsidRPr="008D3C1A">
        <w:rPr>
          <w:sz w:val="22"/>
          <w:szCs w:val="22"/>
          <w:lang w:val="en-GB"/>
        </w:rPr>
        <w:t xml:space="preserve">richer/poorer quintiles </w:t>
      </w:r>
      <w:r w:rsidR="008D331E" w:rsidRPr="008D3C1A">
        <w:rPr>
          <w:sz w:val="22"/>
          <w:szCs w:val="22"/>
          <w:lang w:val="en-GB"/>
        </w:rPr>
        <w:t xml:space="preserve">ratio </w:t>
      </w:r>
      <w:r w:rsidR="00EB25E9" w:rsidRPr="008D3C1A">
        <w:rPr>
          <w:sz w:val="22"/>
          <w:szCs w:val="22"/>
          <w:lang w:val="en-GB"/>
        </w:rPr>
        <w:t>of</w:t>
      </w:r>
      <w:r w:rsidR="008D331E" w:rsidRPr="008D3C1A">
        <w:rPr>
          <w:sz w:val="22"/>
          <w:szCs w:val="22"/>
          <w:lang w:val="en-GB"/>
        </w:rPr>
        <w:t xml:space="preserve"> 13.7)</w:t>
      </w:r>
      <w:r w:rsidRPr="008D3C1A">
        <w:rPr>
          <w:sz w:val="22"/>
          <w:szCs w:val="22"/>
          <w:lang w:val="en-GB"/>
        </w:rPr>
        <w:t xml:space="preserve">. </w:t>
      </w:r>
      <w:r w:rsidR="00EB25E9" w:rsidRPr="008D3C1A">
        <w:rPr>
          <w:sz w:val="22"/>
          <w:szCs w:val="22"/>
          <w:lang w:val="en-GB"/>
        </w:rPr>
        <w:t>This shortening distance continued in</w:t>
      </w:r>
      <w:r w:rsidRPr="008D3C1A">
        <w:rPr>
          <w:sz w:val="22"/>
          <w:szCs w:val="22"/>
          <w:lang w:val="en-GB"/>
        </w:rPr>
        <w:t xml:space="preserve"> the </w:t>
      </w:r>
      <w:r w:rsidR="00147FB5" w:rsidRPr="008D3C1A">
        <w:rPr>
          <w:sz w:val="22"/>
          <w:szCs w:val="22"/>
          <w:lang w:val="en-GB"/>
        </w:rPr>
        <w:t xml:space="preserve">long </w:t>
      </w:r>
      <w:r w:rsidRPr="008D3C1A">
        <w:rPr>
          <w:sz w:val="22"/>
          <w:szCs w:val="22"/>
          <w:lang w:val="en-GB"/>
        </w:rPr>
        <w:t>second half (1999</w:t>
      </w:r>
      <w:r w:rsidR="005024D3" w:rsidRPr="008D3C1A">
        <w:rPr>
          <w:sz w:val="22"/>
          <w:szCs w:val="22"/>
          <w:lang w:val="en-GB"/>
        </w:rPr>
        <w:t>–</w:t>
      </w:r>
      <w:r w:rsidRPr="008D3C1A">
        <w:rPr>
          <w:sz w:val="22"/>
          <w:szCs w:val="22"/>
          <w:lang w:val="en-GB"/>
        </w:rPr>
        <w:t>20</w:t>
      </w:r>
      <w:r w:rsidR="00532C68" w:rsidRPr="008D3C1A">
        <w:rPr>
          <w:sz w:val="22"/>
          <w:szCs w:val="22"/>
          <w:lang w:val="en-GB"/>
        </w:rPr>
        <w:t>1</w:t>
      </w:r>
      <w:r w:rsidR="00147FB5" w:rsidRPr="008D3C1A">
        <w:rPr>
          <w:sz w:val="22"/>
          <w:szCs w:val="22"/>
          <w:lang w:val="en-GB"/>
        </w:rPr>
        <w:t>3</w:t>
      </w:r>
      <w:r w:rsidRPr="008D3C1A">
        <w:rPr>
          <w:sz w:val="22"/>
          <w:szCs w:val="22"/>
          <w:lang w:val="en-GB"/>
        </w:rPr>
        <w:t xml:space="preserve">), </w:t>
      </w:r>
      <w:r w:rsidR="00EB25E9" w:rsidRPr="008D3C1A">
        <w:rPr>
          <w:sz w:val="22"/>
          <w:szCs w:val="22"/>
          <w:lang w:val="en-GB"/>
        </w:rPr>
        <w:t>although</w:t>
      </w:r>
      <w:r w:rsidRPr="008D3C1A">
        <w:rPr>
          <w:sz w:val="22"/>
          <w:szCs w:val="22"/>
          <w:lang w:val="en-GB"/>
        </w:rPr>
        <w:t xml:space="preserve"> per capita GDP growth trend halved and the strong development convergence exhibited in 1990</w:t>
      </w:r>
      <w:r w:rsidR="005024D3" w:rsidRPr="008D3C1A">
        <w:rPr>
          <w:sz w:val="22"/>
          <w:szCs w:val="22"/>
          <w:lang w:val="en-GB"/>
        </w:rPr>
        <w:t>–</w:t>
      </w:r>
      <w:r w:rsidRPr="008D3C1A">
        <w:rPr>
          <w:sz w:val="22"/>
          <w:szCs w:val="22"/>
          <w:lang w:val="en-GB"/>
        </w:rPr>
        <w:t>98 was weakened</w:t>
      </w:r>
      <w:r w:rsidR="00532C68" w:rsidRPr="008D3C1A">
        <w:rPr>
          <w:sz w:val="22"/>
          <w:szCs w:val="22"/>
          <w:lang w:val="en-GB"/>
        </w:rPr>
        <w:t xml:space="preserve"> (to only </w:t>
      </w:r>
      <w:r w:rsidR="00147FB5" w:rsidRPr="008D3C1A">
        <w:rPr>
          <w:sz w:val="22"/>
          <w:szCs w:val="22"/>
          <w:lang w:val="en-GB"/>
        </w:rPr>
        <w:t xml:space="preserve">one </w:t>
      </w:r>
      <w:r w:rsidR="00532C68" w:rsidRPr="008D3C1A">
        <w:rPr>
          <w:sz w:val="22"/>
          <w:szCs w:val="22"/>
          <w:lang w:val="en-GB"/>
        </w:rPr>
        <w:t>half percentage point)</w:t>
      </w:r>
      <w:r w:rsidRPr="008D3C1A">
        <w:rPr>
          <w:sz w:val="22"/>
          <w:szCs w:val="22"/>
          <w:lang w:val="en-GB"/>
        </w:rPr>
        <w:t xml:space="preserve">, as well as previous improvements </w:t>
      </w:r>
      <w:r w:rsidR="00EB25E9" w:rsidRPr="008D3C1A">
        <w:rPr>
          <w:sz w:val="22"/>
          <w:szCs w:val="22"/>
          <w:lang w:val="en-GB"/>
        </w:rPr>
        <w:t xml:space="preserve">in </w:t>
      </w:r>
      <w:r w:rsidRPr="008D3C1A">
        <w:rPr>
          <w:sz w:val="22"/>
          <w:szCs w:val="22"/>
          <w:lang w:val="en-GB"/>
        </w:rPr>
        <w:t>income distribution and the intensity of poverty reduction.</w:t>
      </w:r>
    </w:p>
    <w:p w:rsidR="002208C0" w:rsidRPr="008D3C1A" w:rsidRDefault="002208C0" w:rsidP="00AC15A7">
      <w:pPr>
        <w:spacing w:line="360" w:lineRule="auto"/>
        <w:ind w:firstLine="708"/>
        <w:jc w:val="both"/>
        <w:rPr>
          <w:sz w:val="22"/>
          <w:szCs w:val="22"/>
          <w:lang w:val="en-GB"/>
        </w:rPr>
      </w:pPr>
    </w:p>
    <w:p w:rsidR="00681031" w:rsidRPr="008D3C1A" w:rsidRDefault="00681031" w:rsidP="00AC15A7">
      <w:pPr>
        <w:spacing w:line="360" w:lineRule="auto"/>
        <w:ind w:firstLine="708"/>
        <w:jc w:val="both"/>
        <w:rPr>
          <w:b/>
          <w:i/>
          <w:sz w:val="22"/>
          <w:szCs w:val="22"/>
          <w:lang w:val="en-GB"/>
        </w:rPr>
      </w:pPr>
      <w:r w:rsidRPr="008D3C1A">
        <w:rPr>
          <w:sz w:val="22"/>
          <w:szCs w:val="22"/>
          <w:lang w:val="en-GB"/>
        </w:rPr>
        <w:tab/>
      </w:r>
      <w:r w:rsidRPr="008D3C1A">
        <w:rPr>
          <w:sz w:val="22"/>
          <w:szCs w:val="22"/>
          <w:lang w:val="en-GB"/>
        </w:rPr>
        <w:tab/>
      </w:r>
      <w:r w:rsidRPr="008D3C1A">
        <w:rPr>
          <w:sz w:val="22"/>
          <w:szCs w:val="22"/>
          <w:lang w:val="en-GB"/>
        </w:rPr>
        <w:tab/>
      </w:r>
      <w:r w:rsidRPr="008D3C1A">
        <w:rPr>
          <w:sz w:val="22"/>
          <w:szCs w:val="22"/>
          <w:lang w:val="en-GB"/>
        </w:rPr>
        <w:tab/>
      </w:r>
      <w:r w:rsidRPr="008D3C1A">
        <w:rPr>
          <w:sz w:val="22"/>
          <w:szCs w:val="22"/>
          <w:lang w:val="en-GB"/>
        </w:rPr>
        <w:tab/>
      </w:r>
      <w:r w:rsidRPr="008D3C1A">
        <w:rPr>
          <w:b/>
          <w:i/>
          <w:sz w:val="22"/>
          <w:szCs w:val="22"/>
          <w:lang w:val="en-GB"/>
        </w:rPr>
        <w:t>Table 2</w:t>
      </w:r>
    </w:p>
    <w:p w:rsidR="00AC15A7" w:rsidRPr="008D3C1A" w:rsidRDefault="00AC15A7" w:rsidP="00AC15A7">
      <w:pPr>
        <w:spacing w:line="360" w:lineRule="auto"/>
        <w:ind w:firstLine="708"/>
        <w:jc w:val="both"/>
        <w:rPr>
          <w:sz w:val="22"/>
          <w:szCs w:val="22"/>
          <w:lang w:val="en-GB"/>
        </w:rPr>
      </w:pPr>
    </w:p>
    <w:p w:rsidR="00AC15A7" w:rsidRPr="008D3C1A" w:rsidRDefault="00AC15A7" w:rsidP="004E552D">
      <w:pPr>
        <w:pStyle w:val="Prrafodelista"/>
        <w:numPr>
          <w:ilvl w:val="0"/>
          <w:numId w:val="1"/>
        </w:numPr>
        <w:spacing w:line="360" w:lineRule="auto"/>
        <w:ind w:left="720"/>
        <w:jc w:val="center"/>
        <w:outlineLvl w:val="0"/>
        <w:rPr>
          <w:b/>
          <w:sz w:val="28"/>
          <w:szCs w:val="28"/>
          <w:lang w:val="en-GB"/>
        </w:rPr>
      </w:pPr>
      <w:bookmarkStart w:id="3" w:name="_Toc401076030"/>
      <w:r w:rsidRPr="008D3C1A">
        <w:rPr>
          <w:b/>
          <w:sz w:val="28"/>
          <w:szCs w:val="28"/>
          <w:lang w:val="en-GB"/>
        </w:rPr>
        <w:t>Three Quite Diverse Experiences</w:t>
      </w:r>
      <w:bookmarkEnd w:id="3"/>
    </w:p>
    <w:p w:rsidR="004E552D" w:rsidRPr="008D3C1A" w:rsidRDefault="004E552D" w:rsidP="002208C0">
      <w:pPr>
        <w:rPr>
          <w:b/>
          <w:sz w:val="24"/>
          <w:szCs w:val="24"/>
          <w:lang w:val="en-GB"/>
        </w:rPr>
      </w:pPr>
    </w:p>
    <w:p w:rsidR="00FE396E" w:rsidRPr="008D3C1A" w:rsidRDefault="00FE396E" w:rsidP="004E552D">
      <w:pPr>
        <w:pStyle w:val="Prrafodelista"/>
        <w:numPr>
          <w:ilvl w:val="0"/>
          <w:numId w:val="2"/>
        </w:numPr>
        <w:spacing w:after="120" w:line="360" w:lineRule="auto"/>
        <w:jc w:val="both"/>
        <w:outlineLvl w:val="1"/>
        <w:rPr>
          <w:b/>
          <w:i/>
          <w:sz w:val="24"/>
          <w:szCs w:val="24"/>
          <w:lang w:val="en-GB"/>
        </w:rPr>
      </w:pPr>
      <w:bookmarkStart w:id="4" w:name="_Toc401076031"/>
      <w:r w:rsidRPr="008D3C1A">
        <w:rPr>
          <w:b/>
          <w:i/>
          <w:sz w:val="24"/>
          <w:szCs w:val="24"/>
          <w:lang w:val="en-GB"/>
        </w:rPr>
        <w:t>The neo-liberal revolution, 1973</w:t>
      </w:r>
      <w:r w:rsidR="005024D3" w:rsidRPr="008D3C1A">
        <w:rPr>
          <w:b/>
          <w:i/>
          <w:sz w:val="24"/>
          <w:szCs w:val="24"/>
          <w:lang w:val="en-GB"/>
        </w:rPr>
        <w:t>–</w:t>
      </w:r>
      <w:r w:rsidRPr="008D3C1A">
        <w:rPr>
          <w:b/>
          <w:i/>
          <w:sz w:val="24"/>
          <w:szCs w:val="24"/>
          <w:lang w:val="en-GB"/>
        </w:rPr>
        <w:t>81</w:t>
      </w:r>
      <w:bookmarkEnd w:id="4"/>
    </w:p>
    <w:p w:rsidR="00C6295F" w:rsidRPr="008D3C1A" w:rsidRDefault="00EB25E9" w:rsidP="004E552D">
      <w:pPr>
        <w:spacing w:after="120" w:line="360" w:lineRule="auto"/>
        <w:ind w:firstLine="360"/>
        <w:jc w:val="both"/>
        <w:rPr>
          <w:sz w:val="22"/>
          <w:szCs w:val="22"/>
          <w:lang w:val="en-GB"/>
        </w:rPr>
      </w:pPr>
      <w:r w:rsidRPr="008D3C1A">
        <w:rPr>
          <w:sz w:val="22"/>
          <w:szCs w:val="22"/>
          <w:lang w:val="en-GB"/>
        </w:rPr>
        <w:t>L</w:t>
      </w:r>
      <w:r w:rsidR="00375161" w:rsidRPr="008D3C1A">
        <w:rPr>
          <w:sz w:val="22"/>
          <w:szCs w:val="22"/>
          <w:lang w:val="en-GB"/>
        </w:rPr>
        <w:t xml:space="preserve">aunched after the military coup of </w:t>
      </w:r>
      <w:r w:rsidRPr="008D3C1A">
        <w:rPr>
          <w:sz w:val="22"/>
          <w:szCs w:val="22"/>
          <w:lang w:val="en-GB"/>
        </w:rPr>
        <w:t>11</w:t>
      </w:r>
      <w:r w:rsidRPr="00045A06">
        <w:rPr>
          <w:sz w:val="22"/>
          <w:szCs w:val="22"/>
          <w:vertAlign w:val="superscript"/>
          <w:lang w:val="en-GB"/>
        </w:rPr>
        <w:t>th</w:t>
      </w:r>
      <w:r w:rsidR="00375161" w:rsidRPr="008D3C1A">
        <w:rPr>
          <w:sz w:val="22"/>
          <w:szCs w:val="22"/>
          <w:lang w:val="en-GB"/>
        </w:rPr>
        <w:t xml:space="preserve">September 1973, </w:t>
      </w:r>
      <w:r w:rsidRPr="008D3C1A">
        <w:rPr>
          <w:sz w:val="22"/>
          <w:szCs w:val="22"/>
          <w:lang w:val="en-GB"/>
        </w:rPr>
        <w:t xml:space="preserve">the first stage of the economic reforms (1973–81) </w:t>
      </w:r>
      <w:r w:rsidR="00375161" w:rsidRPr="008D3C1A">
        <w:rPr>
          <w:sz w:val="22"/>
          <w:szCs w:val="22"/>
          <w:lang w:val="en-GB"/>
        </w:rPr>
        <w:t xml:space="preserve">represented an extreme case </w:t>
      </w:r>
      <w:r w:rsidRPr="008D3C1A">
        <w:rPr>
          <w:sz w:val="22"/>
          <w:szCs w:val="22"/>
          <w:lang w:val="en-GB"/>
        </w:rPr>
        <w:t>due to</w:t>
      </w:r>
      <w:r w:rsidR="00375161" w:rsidRPr="008D3C1A">
        <w:rPr>
          <w:sz w:val="22"/>
          <w:szCs w:val="22"/>
          <w:lang w:val="en-GB"/>
        </w:rPr>
        <w:t xml:space="preserve"> the amplitude of the role granted to the market, the intensive privati</w:t>
      </w:r>
      <w:r w:rsidR="00EA5066" w:rsidRPr="008D3C1A">
        <w:rPr>
          <w:sz w:val="22"/>
          <w:szCs w:val="22"/>
          <w:lang w:val="en-GB"/>
        </w:rPr>
        <w:t>s</w:t>
      </w:r>
      <w:r w:rsidR="00375161" w:rsidRPr="008D3C1A">
        <w:rPr>
          <w:sz w:val="22"/>
          <w:szCs w:val="22"/>
          <w:lang w:val="en-GB"/>
        </w:rPr>
        <w:t xml:space="preserve">ation of the means of production, </w:t>
      </w:r>
      <w:r w:rsidR="00C6295F" w:rsidRPr="008D3C1A">
        <w:rPr>
          <w:sz w:val="22"/>
          <w:szCs w:val="22"/>
          <w:lang w:val="en-GB"/>
        </w:rPr>
        <w:t>sharp liberali</w:t>
      </w:r>
      <w:r w:rsidR="00EA5066" w:rsidRPr="008D3C1A">
        <w:rPr>
          <w:sz w:val="22"/>
          <w:szCs w:val="22"/>
          <w:lang w:val="en-GB"/>
        </w:rPr>
        <w:t>s</w:t>
      </w:r>
      <w:r w:rsidR="00C6295F" w:rsidRPr="008D3C1A">
        <w:rPr>
          <w:sz w:val="22"/>
          <w:szCs w:val="22"/>
          <w:lang w:val="en-GB"/>
        </w:rPr>
        <w:t xml:space="preserve">ation of imports and the domestic financial markets, </w:t>
      </w:r>
      <w:r w:rsidRPr="008D3C1A">
        <w:rPr>
          <w:sz w:val="22"/>
          <w:szCs w:val="22"/>
          <w:lang w:val="en-GB"/>
        </w:rPr>
        <w:t>as well as</w:t>
      </w:r>
      <w:r w:rsidR="00375161" w:rsidRPr="008D3C1A">
        <w:rPr>
          <w:sz w:val="22"/>
          <w:szCs w:val="22"/>
          <w:lang w:val="en-GB"/>
        </w:rPr>
        <w:t xml:space="preserve"> the regressive changes imposed on social organi</w:t>
      </w:r>
      <w:r w:rsidR="00EA5066" w:rsidRPr="008D3C1A">
        <w:rPr>
          <w:sz w:val="22"/>
          <w:szCs w:val="22"/>
          <w:lang w:val="en-GB"/>
        </w:rPr>
        <w:t>s</w:t>
      </w:r>
      <w:r w:rsidR="00375161" w:rsidRPr="008D3C1A">
        <w:rPr>
          <w:sz w:val="22"/>
          <w:szCs w:val="22"/>
          <w:lang w:val="en-GB"/>
        </w:rPr>
        <w:t xml:space="preserve">ations. </w:t>
      </w:r>
      <w:r w:rsidR="00C6295F" w:rsidRPr="008D3C1A">
        <w:rPr>
          <w:sz w:val="22"/>
          <w:szCs w:val="22"/>
          <w:lang w:val="en-GB"/>
        </w:rPr>
        <w:t>The</w:t>
      </w:r>
      <w:r w:rsidR="00147FB5" w:rsidRPr="008D3C1A">
        <w:rPr>
          <w:sz w:val="22"/>
          <w:szCs w:val="22"/>
          <w:lang w:val="en-GB"/>
        </w:rPr>
        <w:t>re</w:t>
      </w:r>
      <w:r w:rsidR="00C6295F" w:rsidRPr="008D3C1A">
        <w:rPr>
          <w:sz w:val="22"/>
          <w:szCs w:val="22"/>
          <w:lang w:val="en-GB"/>
        </w:rPr>
        <w:t xml:space="preserve"> was a determinant emphasis on </w:t>
      </w:r>
      <w:r w:rsidRPr="008D3C1A">
        <w:rPr>
          <w:sz w:val="22"/>
          <w:szCs w:val="22"/>
          <w:lang w:val="en-GB"/>
        </w:rPr>
        <w:t xml:space="preserve">the </w:t>
      </w:r>
      <w:r w:rsidR="00C6295F" w:rsidRPr="008D3C1A">
        <w:rPr>
          <w:sz w:val="22"/>
          <w:szCs w:val="22"/>
          <w:lang w:val="en-GB"/>
        </w:rPr>
        <w:t>“neutrality” of economic policies</w:t>
      </w:r>
      <w:r w:rsidRPr="008D3C1A">
        <w:rPr>
          <w:sz w:val="22"/>
          <w:szCs w:val="22"/>
          <w:lang w:val="en-GB"/>
        </w:rPr>
        <w:t>,</w:t>
      </w:r>
      <w:r w:rsidR="00C6295F" w:rsidRPr="008D3C1A">
        <w:rPr>
          <w:sz w:val="22"/>
          <w:szCs w:val="22"/>
          <w:lang w:val="en-GB"/>
        </w:rPr>
        <w:t xml:space="preserve"> disregarding the high existing inequality, under the belief that the “market always knows better” and provides equitable outcomes.</w:t>
      </w:r>
    </w:p>
    <w:p w:rsidR="00375161" w:rsidRPr="008D3C1A" w:rsidRDefault="00331683" w:rsidP="004E552D">
      <w:pPr>
        <w:spacing w:after="120" w:line="360" w:lineRule="auto"/>
        <w:ind w:firstLine="360"/>
        <w:jc w:val="both"/>
        <w:rPr>
          <w:sz w:val="22"/>
          <w:szCs w:val="22"/>
          <w:lang w:val="en-GB"/>
        </w:rPr>
      </w:pPr>
      <w:r w:rsidRPr="008D3C1A">
        <w:rPr>
          <w:snapToGrid w:val="0"/>
          <w:sz w:val="22"/>
          <w:szCs w:val="22"/>
          <w:lang w:val="en-GB"/>
        </w:rPr>
        <w:lastRenderedPageBreak/>
        <w:t>T</w:t>
      </w:r>
      <w:r w:rsidR="00375161" w:rsidRPr="008D3C1A">
        <w:rPr>
          <w:sz w:val="22"/>
          <w:szCs w:val="22"/>
          <w:lang w:val="en-GB"/>
        </w:rPr>
        <w:t>he initial concerns of Pinochet's government lay with controlling the acute macroeconomic disequilibria inherited,</w:t>
      </w:r>
      <w:r w:rsidR="00EB25E9" w:rsidRPr="008D3C1A">
        <w:rPr>
          <w:sz w:val="22"/>
          <w:szCs w:val="22"/>
          <w:lang w:val="en-GB"/>
        </w:rPr>
        <w:t xml:space="preserve"> particularly</w:t>
      </w:r>
      <w:r w:rsidR="00375161" w:rsidRPr="008D3C1A">
        <w:rPr>
          <w:sz w:val="22"/>
          <w:szCs w:val="22"/>
          <w:lang w:val="en-GB"/>
        </w:rPr>
        <w:t xml:space="preserve"> a 700</w:t>
      </w:r>
      <w:r w:rsidR="005024D3" w:rsidRPr="008D3C1A">
        <w:rPr>
          <w:sz w:val="22"/>
          <w:szCs w:val="22"/>
          <w:lang w:val="en-GB"/>
        </w:rPr>
        <w:t xml:space="preserve"> per cent</w:t>
      </w:r>
      <w:r w:rsidR="00375161" w:rsidRPr="008D3C1A">
        <w:rPr>
          <w:sz w:val="22"/>
          <w:szCs w:val="22"/>
          <w:lang w:val="en-GB"/>
        </w:rPr>
        <w:t xml:space="preserve"> hyper-inflation recorded in 1973, with the reduction of a huge fiscal deficit </w:t>
      </w:r>
      <w:r w:rsidR="00EB25E9" w:rsidRPr="008D3C1A">
        <w:rPr>
          <w:sz w:val="22"/>
          <w:szCs w:val="22"/>
          <w:lang w:val="en-GB"/>
        </w:rPr>
        <w:t xml:space="preserve">assuming </w:t>
      </w:r>
      <w:r w:rsidR="00375161" w:rsidRPr="008D3C1A">
        <w:rPr>
          <w:sz w:val="22"/>
          <w:szCs w:val="22"/>
          <w:lang w:val="en-GB"/>
        </w:rPr>
        <w:t>top priority.</w:t>
      </w:r>
    </w:p>
    <w:p w:rsidR="00375161" w:rsidRPr="008D3C1A" w:rsidRDefault="00EB25E9" w:rsidP="004E552D">
      <w:pPr>
        <w:spacing w:after="120" w:line="360" w:lineRule="auto"/>
        <w:ind w:firstLine="360"/>
        <w:jc w:val="both"/>
        <w:rPr>
          <w:sz w:val="22"/>
          <w:szCs w:val="22"/>
          <w:lang w:val="en-GB"/>
        </w:rPr>
      </w:pPr>
      <w:r w:rsidRPr="008D3C1A">
        <w:rPr>
          <w:sz w:val="22"/>
          <w:szCs w:val="22"/>
          <w:lang w:val="en-GB"/>
        </w:rPr>
        <w:t xml:space="preserve">In 1973–74, the </w:t>
      </w:r>
      <w:r w:rsidR="00375161" w:rsidRPr="008D3C1A">
        <w:rPr>
          <w:sz w:val="22"/>
          <w:szCs w:val="22"/>
          <w:lang w:val="en-GB"/>
        </w:rPr>
        <w:t xml:space="preserve">government benefited from a very high copper price (by far the main export, by a public firm </w:t>
      </w:r>
      <w:r w:rsidR="005024D3" w:rsidRPr="008D3C1A">
        <w:rPr>
          <w:sz w:val="22"/>
          <w:szCs w:val="22"/>
          <w:lang w:val="en-GB"/>
        </w:rPr>
        <w:t>–</w:t>
      </w:r>
      <w:r w:rsidR="00375161" w:rsidRPr="008D3C1A">
        <w:rPr>
          <w:sz w:val="22"/>
          <w:szCs w:val="22"/>
          <w:lang w:val="en-GB"/>
        </w:rPr>
        <w:t xml:space="preserve">CODELCO), </w:t>
      </w:r>
      <w:r w:rsidRPr="008D3C1A">
        <w:rPr>
          <w:sz w:val="22"/>
          <w:szCs w:val="22"/>
          <w:lang w:val="en-GB"/>
        </w:rPr>
        <w:t xml:space="preserve">which </w:t>
      </w:r>
      <w:r w:rsidR="00375161" w:rsidRPr="008D3C1A">
        <w:rPr>
          <w:sz w:val="22"/>
          <w:szCs w:val="22"/>
          <w:lang w:val="en-GB"/>
        </w:rPr>
        <w:t xml:space="preserve">increased public revenue and the availability of foreign currency. </w:t>
      </w:r>
      <w:r w:rsidRPr="008D3C1A">
        <w:rPr>
          <w:sz w:val="22"/>
          <w:szCs w:val="22"/>
          <w:lang w:val="en-GB"/>
        </w:rPr>
        <w:t>While it was evident to</w:t>
      </w:r>
      <w:r w:rsidR="00375161" w:rsidRPr="008D3C1A">
        <w:rPr>
          <w:sz w:val="22"/>
          <w:szCs w:val="22"/>
          <w:lang w:val="en-GB"/>
        </w:rPr>
        <w:t xml:space="preserve"> independent observers</w:t>
      </w:r>
      <w:r w:rsidRPr="008D3C1A">
        <w:rPr>
          <w:sz w:val="22"/>
          <w:szCs w:val="22"/>
          <w:lang w:val="en-GB"/>
        </w:rPr>
        <w:t xml:space="preserve"> that</w:t>
      </w:r>
      <w:r w:rsidR="00375161" w:rsidRPr="008D3C1A">
        <w:rPr>
          <w:sz w:val="22"/>
          <w:szCs w:val="22"/>
          <w:lang w:val="en-GB"/>
        </w:rPr>
        <w:t xml:space="preserve"> the price was unsustainably high</w:t>
      </w:r>
      <w:r w:rsidRPr="008D3C1A">
        <w:rPr>
          <w:sz w:val="22"/>
          <w:szCs w:val="22"/>
          <w:lang w:val="en-GB"/>
        </w:rPr>
        <w:t>,</w:t>
      </w:r>
      <w:r w:rsidR="00375161" w:rsidRPr="008D3C1A">
        <w:rPr>
          <w:sz w:val="22"/>
          <w:szCs w:val="22"/>
          <w:lang w:val="en-GB"/>
        </w:rPr>
        <w:t xml:space="preserve"> the revenue </w:t>
      </w:r>
      <w:r w:rsidRPr="008D3C1A">
        <w:rPr>
          <w:sz w:val="22"/>
          <w:szCs w:val="22"/>
          <w:lang w:val="en-GB"/>
        </w:rPr>
        <w:t xml:space="preserve">from </w:t>
      </w:r>
      <w:r w:rsidR="00375161" w:rsidRPr="008D3C1A">
        <w:rPr>
          <w:sz w:val="22"/>
          <w:szCs w:val="22"/>
          <w:lang w:val="en-GB"/>
        </w:rPr>
        <w:t xml:space="preserve">copper exports was fully spent by the government </w:t>
      </w:r>
      <w:r w:rsidR="00375161" w:rsidRPr="008D3C1A">
        <w:rPr>
          <w:i/>
          <w:sz w:val="22"/>
          <w:szCs w:val="22"/>
          <w:lang w:val="en-GB"/>
        </w:rPr>
        <w:t>paripassu</w:t>
      </w:r>
      <w:r w:rsidR="00375161" w:rsidRPr="008D3C1A">
        <w:rPr>
          <w:sz w:val="22"/>
          <w:szCs w:val="22"/>
          <w:lang w:val="en-GB"/>
        </w:rPr>
        <w:t xml:space="preserve"> with its collection. Economic activity </w:t>
      </w:r>
      <w:r w:rsidRPr="008D3C1A">
        <w:rPr>
          <w:sz w:val="22"/>
          <w:szCs w:val="22"/>
          <w:lang w:val="en-GB"/>
        </w:rPr>
        <w:t xml:space="preserve">significantly </w:t>
      </w:r>
      <w:r w:rsidR="00375161" w:rsidRPr="008D3C1A">
        <w:rPr>
          <w:sz w:val="22"/>
          <w:szCs w:val="22"/>
          <w:lang w:val="en-GB"/>
        </w:rPr>
        <w:t>recovered in 1974, making use of installed capacity underutili</w:t>
      </w:r>
      <w:r w:rsidR="00EA5066" w:rsidRPr="008D3C1A">
        <w:rPr>
          <w:sz w:val="22"/>
          <w:szCs w:val="22"/>
          <w:lang w:val="en-GB"/>
        </w:rPr>
        <w:t>s</w:t>
      </w:r>
      <w:r w:rsidR="00375161" w:rsidRPr="008D3C1A">
        <w:rPr>
          <w:sz w:val="22"/>
          <w:szCs w:val="22"/>
          <w:lang w:val="en-GB"/>
        </w:rPr>
        <w:t xml:space="preserve">ed during the previous year. However, </w:t>
      </w:r>
      <w:r w:rsidRPr="008D3C1A">
        <w:rPr>
          <w:sz w:val="22"/>
          <w:szCs w:val="22"/>
          <w:lang w:val="en-GB"/>
        </w:rPr>
        <w:t xml:space="preserve">the price of copper sharply declined </w:t>
      </w:r>
      <w:r w:rsidR="00375161" w:rsidRPr="008D3C1A">
        <w:rPr>
          <w:sz w:val="22"/>
          <w:szCs w:val="22"/>
          <w:lang w:val="en-GB"/>
        </w:rPr>
        <w:t>in late 1974</w:t>
      </w:r>
      <w:r w:rsidRPr="008D3C1A">
        <w:rPr>
          <w:sz w:val="22"/>
          <w:szCs w:val="22"/>
          <w:lang w:val="en-GB"/>
        </w:rPr>
        <w:t>, prompting</w:t>
      </w:r>
      <w:r w:rsidR="00375161" w:rsidRPr="008D3C1A">
        <w:rPr>
          <w:sz w:val="22"/>
          <w:szCs w:val="22"/>
          <w:lang w:val="en-GB"/>
        </w:rPr>
        <w:t xml:space="preserve"> the government to introduce a tougher adjustment program</w:t>
      </w:r>
      <w:r w:rsidR="00EA5066" w:rsidRPr="008D3C1A">
        <w:rPr>
          <w:sz w:val="22"/>
          <w:szCs w:val="22"/>
          <w:lang w:val="en-GB"/>
        </w:rPr>
        <w:t>me</w:t>
      </w:r>
      <w:r w:rsidR="00375161" w:rsidRPr="008D3C1A">
        <w:rPr>
          <w:sz w:val="22"/>
          <w:szCs w:val="22"/>
          <w:lang w:val="en-GB"/>
        </w:rPr>
        <w:t xml:space="preserve"> in 1975, led by fiscal and monetary contraction and significant exchange rate devaluation.</w:t>
      </w:r>
    </w:p>
    <w:p w:rsidR="00375161" w:rsidRPr="008D3C1A" w:rsidRDefault="00375161" w:rsidP="00AC15A7">
      <w:pPr>
        <w:pStyle w:val="Sangra2detindependiente"/>
        <w:spacing w:line="360" w:lineRule="auto"/>
        <w:ind w:left="0" w:firstLine="360"/>
        <w:rPr>
          <w:rFonts w:ascii="Times New Roman" w:hAnsi="Times New Roman"/>
          <w:sz w:val="22"/>
          <w:szCs w:val="22"/>
          <w:lang w:val="en-GB"/>
        </w:rPr>
      </w:pPr>
      <w:r w:rsidRPr="008D3C1A">
        <w:rPr>
          <w:rFonts w:ascii="Times New Roman" w:hAnsi="Times New Roman"/>
          <w:sz w:val="22"/>
          <w:szCs w:val="22"/>
          <w:lang w:val="en-GB"/>
        </w:rPr>
        <w:t xml:space="preserve">The acute monetary restrictions had </w:t>
      </w:r>
      <w:r w:rsidR="00EB25E9" w:rsidRPr="008D3C1A">
        <w:rPr>
          <w:rFonts w:ascii="Times New Roman" w:hAnsi="Times New Roman"/>
          <w:sz w:val="22"/>
          <w:szCs w:val="22"/>
          <w:lang w:val="en-GB"/>
        </w:rPr>
        <w:t xml:space="preserve">a </w:t>
      </w:r>
      <w:r w:rsidRPr="008D3C1A">
        <w:rPr>
          <w:rFonts w:ascii="Times New Roman" w:hAnsi="Times New Roman"/>
          <w:sz w:val="22"/>
          <w:szCs w:val="22"/>
          <w:lang w:val="en-GB"/>
        </w:rPr>
        <w:t>great impact on economic activity: during 1975</w:t>
      </w:r>
      <w:r w:rsidR="00EB25E9" w:rsidRPr="008D3C1A">
        <w:rPr>
          <w:rFonts w:ascii="Times New Roman" w:hAnsi="Times New Roman"/>
          <w:sz w:val="22"/>
          <w:szCs w:val="22"/>
          <w:lang w:val="en-GB"/>
        </w:rPr>
        <w:t>,</w:t>
      </w:r>
      <w:r w:rsidRPr="008D3C1A">
        <w:rPr>
          <w:rFonts w:ascii="Times New Roman" w:hAnsi="Times New Roman"/>
          <w:sz w:val="22"/>
          <w:szCs w:val="22"/>
          <w:lang w:val="en-GB"/>
        </w:rPr>
        <w:t xml:space="preserve"> industrial output fell </w:t>
      </w:r>
      <w:r w:rsidR="00EB25E9" w:rsidRPr="008D3C1A">
        <w:rPr>
          <w:rFonts w:ascii="Times New Roman" w:hAnsi="Times New Roman"/>
          <w:sz w:val="22"/>
          <w:szCs w:val="22"/>
          <w:lang w:val="en-GB"/>
        </w:rPr>
        <w:t xml:space="preserve">by </w:t>
      </w:r>
      <w:r w:rsidRPr="008D3C1A">
        <w:rPr>
          <w:rFonts w:ascii="Times New Roman" w:hAnsi="Times New Roman"/>
          <w:sz w:val="22"/>
          <w:szCs w:val="22"/>
          <w:lang w:val="en-GB"/>
        </w:rPr>
        <w:t>28</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GDP declined </w:t>
      </w:r>
      <w:r w:rsidR="00EB25E9" w:rsidRPr="008D3C1A">
        <w:rPr>
          <w:rFonts w:ascii="Times New Roman" w:hAnsi="Times New Roman"/>
          <w:sz w:val="22"/>
          <w:szCs w:val="22"/>
          <w:lang w:val="en-GB"/>
        </w:rPr>
        <w:t xml:space="preserve">by </w:t>
      </w:r>
      <w:r w:rsidRPr="008D3C1A">
        <w:rPr>
          <w:rFonts w:ascii="Times New Roman" w:hAnsi="Times New Roman"/>
          <w:sz w:val="22"/>
          <w:szCs w:val="22"/>
          <w:lang w:val="en-GB"/>
        </w:rPr>
        <w:t>17</w:t>
      </w:r>
      <w:r w:rsidR="005024D3" w:rsidRPr="008D3C1A">
        <w:rPr>
          <w:rFonts w:ascii="Times New Roman" w:hAnsi="Times New Roman"/>
          <w:sz w:val="22"/>
          <w:szCs w:val="22"/>
          <w:lang w:val="en-GB"/>
        </w:rPr>
        <w:t xml:space="preserve"> per cent</w:t>
      </w:r>
      <w:r w:rsidR="00FA4087" w:rsidRPr="008D3C1A">
        <w:rPr>
          <w:rFonts w:ascii="Times New Roman" w:hAnsi="Times New Roman"/>
          <w:sz w:val="22"/>
          <w:szCs w:val="22"/>
          <w:lang w:val="en-GB"/>
        </w:rPr>
        <w:t xml:space="preserve">and </w:t>
      </w:r>
      <w:r w:rsidR="00C91215" w:rsidRPr="008D3C1A">
        <w:rPr>
          <w:rFonts w:ascii="Times New Roman" w:hAnsi="Times New Roman"/>
          <w:sz w:val="22"/>
          <w:szCs w:val="22"/>
          <w:lang w:val="en-GB"/>
        </w:rPr>
        <w:t xml:space="preserve">total </w:t>
      </w:r>
      <w:r w:rsidRPr="008D3C1A">
        <w:rPr>
          <w:rFonts w:ascii="Times New Roman" w:hAnsi="Times New Roman"/>
          <w:sz w:val="22"/>
          <w:szCs w:val="22"/>
          <w:lang w:val="en-GB"/>
        </w:rPr>
        <w:t>unemployment peaked at 20</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of the labo</w:t>
      </w:r>
      <w:r w:rsidR="00EB25E9" w:rsidRPr="008D3C1A">
        <w:rPr>
          <w:rFonts w:ascii="Times New Roman" w:hAnsi="Times New Roman"/>
          <w:sz w:val="22"/>
          <w:szCs w:val="22"/>
          <w:lang w:val="en-GB"/>
        </w:rPr>
        <w:t>u</w:t>
      </w:r>
      <w:r w:rsidRPr="008D3C1A">
        <w:rPr>
          <w:rFonts w:ascii="Times New Roman" w:hAnsi="Times New Roman"/>
          <w:sz w:val="22"/>
          <w:szCs w:val="22"/>
          <w:lang w:val="en-GB"/>
        </w:rPr>
        <w:t>r force. Since productive capacity was not destroyed but heavily underutili</w:t>
      </w:r>
      <w:r w:rsidR="00EA5066" w:rsidRPr="008D3C1A">
        <w:rPr>
          <w:rFonts w:ascii="Times New Roman" w:hAnsi="Times New Roman"/>
          <w:sz w:val="22"/>
          <w:szCs w:val="22"/>
          <w:lang w:val="en-GB"/>
        </w:rPr>
        <w:t>s</w:t>
      </w:r>
      <w:r w:rsidRPr="008D3C1A">
        <w:rPr>
          <w:rFonts w:ascii="Times New Roman" w:hAnsi="Times New Roman"/>
          <w:sz w:val="22"/>
          <w:szCs w:val="22"/>
          <w:lang w:val="en-GB"/>
        </w:rPr>
        <w:t xml:space="preserve">ed </w:t>
      </w:r>
      <w:r w:rsidR="005024D3" w:rsidRPr="008D3C1A">
        <w:rPr>
          <w:rFonts w:ascii="Times New Roman" w:hAnsi="Times New Roman"/>
          <w:sz w:val="22"/>
          <w:szCs w:val="22"/>
          <w:lang w:val="en-GB"/>
        </w:rPr>
        <w:t>–</w:t>
      </w:r>
      <w:r w:rsidR="00EB25E9" w:rsidRPr="008D3C1A">
        <w:rPr>
          <w:rFonts w:ascii="Times New Roman" w:hAnsi="Times New Roman"/>
          <w:sz w:val="22"/>
          <w:szCs w:val="22"/>
          <w:lang w:val="en-GB"/>
        </w:rPr>
        <w:t xml:space="preserve"> reflecting</w:t>
      </w:r>
      <w:r w:rsidRPr="008D3C1A">
        <w:rPr>
          <w:rFonts w:ascii="Times New Roman" w:hAnsi="Times New Roman"/>
          <w:sz w:val="22"/>
          <w:szCs w:val="22"/>
          <w:lang w:val="en-GB"/>
        </w:rPr>
        <w:t xml:space="preserve"> a main </w:t>
      </w:r>
      <w:r w:rsidR="00147FB5" w:rsidRPr="008D3C1A">
        <w:rPr>
          <w:rFonts w:ascii="Times New Roman" w:hAnsi="Times New Roman"/>
          <w:sz w:val="22"/>
          <w:szCs w:val="22"/>
          <w:lang w:val="en-GB"/>
        </w:rPr>
        <w:t xml:space="preserve">real </w:t>
      </w:r>
      <w:r w:rsidRPr="008D3C1A">
        <w:rPr>
          <w:rFonts w:ascii="Times New Roman" w:hAnsi="Times New Roman"/>
          <w:sz w:val="22"/>
          <w:szCs w:val="22"/>
          <w:lang w:val="en-GB"/>
        </w:rPr>
        <w:t>macroeconomic disequilibria</w:t>
      </w:r>
      <w:r w:rsidR="005024D3" w:rsidRPr="008D3C1A">
        <w:rPr>
          <w:rFonts w:ascii="Times New Roman" w:hAnsi="Times New Roman"/>
          <w:sz w:val="22"/>
          <w:szCs w:val="22"/>
          <w:lang w:val="en-GB"/>
        </w:rPr>
        <w:t>–</w:t>
      </w:r>
      <w:r w:rsidRPr="008D3C1A">
        <w:rPr>
          <w:rFonts w:ascii="Times New Roman" w:hAnsi="Times New Roman"/>
          <w:sz w:val="22"/>
          <w:szCs w:val="22"/>
          <w:lang w:val="en-GB"/>
        </w:rPr>
        <w:t xml:space="preserve"> a significant output gap between actual GDP and potential GDP emerged</w:t>
      </w:r>
      <w:r w:rsidR="00EB25E9" w:rsidRPr="008D3C1A">
        <w:rPr>
          <w:rFonts w:ascii="Times New Roman" w:hAnsi="Times New Roman"/>
          <w:sz w:val="22"/>
          <w:szCs w:val="22"/>
          <w:lang w:val="en-GB"/>
        </w:rPr>
        <w:t>, whereby</w:t>
      </w:r>
      <w:r w:rsidRPr="008D3C1A">
        <w:rPr>
          <w:rFonts w:ascii="Times New Roman" w:hAnsi="Times New Roman"/>
          <w:sz w:val="22"/>
          <w:szCs w:val="22"/>
          <w:lang w:val="en-GB"/>
        </w:rPr>
        <w:t xml:space="preserve"> about 20</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of GDP was underutili</w:t>
      </w:r>
      <w:r w:rsidR="00EA5066" w:rsidRPr="008D3C1A">
        <w:rPr>
          <w:rFonts w:ascii="Times New Roman" w:hAnsi="Times New Roman"/>
          <w:sz w:val="22"/>
          <w:szCs w:val="22"/>
          <w:lang w:val="en-GB"/>
        </w:rPr>
        <w:t>s</w:t>
      </w:r>
      <w:r w:rsidRPr="008D3C1A">
        <w:rPr>
          <w:rFonts w:ascii="Times New Roman" w:hAnsi="Times New Roman"/>
          <w:sz w:val="22"/>
          <w:szCs w:val="22"/>
          <w:lang w:val="en-GB"/>
        </w:rPr>
        <w:t xml:space="preserve">ed in 1975 (figure 1).  </w:t>
      </w:r>
    </w:p>
    <w:p w:rsidR="002208C0" w:rsidRPr="008D3C1A" w:rsidRDefault="002208C0" w:rsidP="00AC15A7">
      <w:pPr>
        <w:pStyle w:val="Sangra2detindependiente"/>
        <w:spacing w:line="360" w:lineRule="auto"/>
        <w:ind w:left="0" w:firstLine="360"/>
        <w:rPr>
          <w:rFonts w:ascii="Times New Roman" w:hAnsi="Times New Roman"/>
          <w:sz w:val="22"/>
          <w:szCs w:val="22"/>
          <w:lang w:val="en-GB"/>
        </w:rPr>
      </w:pPr>
    </w:p>
    <w:p w:rsidR="00375161" w:rsidRPr="008D3C1A" w:rsidRDefault="00375161" w:rsidP="002208C0">
      <w:pPr>
        <w:pStyle w:val="Sangra2detindependiente"/>
        <w:spacing w:line="360" w:lineRule="auto"/>
        <w:ind w:left="0"/>
        <w:jc w:val="center"/>
        <w:rPr>
          <w:rFonts w:ascii="Times New Roman" w:hAnsi="Times New Roman"/>
          <w:b/>
          <w:i/>
          <w:sz w:val="22"/>
          <w:szCs w:val="22"/>
          <w:lang w:val="en-GB"/>
        </w:rPr>
      </w:pPr>
      <w:r w:rsidRPr="008D3C1A">
        <w:rPr>
          <w:rFonts w:ascii="Times New Roman" w:hAnsi="Times New Roman"/>
          <w:b/>
          <w:i/>
          <w:sz w:val="22"/>
          <w:szCs w:val="22"/>
          <w:lang w:val="en-GB"/>
        </w:rPr>
        <w:t>Figure 1</w:t>
      </w:r>
    </w:p>
    <w:p w:rsidR="002208C0" w:rsidRPr="008D3C1A" w:rsidRDefault="002208C0" w:rsidP="002208C0">
      <w:pPr>
        <w:pStyle w:val="Sangra2detindependiente"/>
        <w:spacing w:line="360" w:lineRule="auto"/>
        <w:ind w:left="0"/>
        <w:jc w:val="center"/>
        <w:rPr>
          <w:rFonts w:ascii="Times New Roman" w:hAnsi="Times New Roman"/>
          <w:b/>
          <w:i/>
          <w:sz w:val="22"/>
          <w:szCs w:val="22"/>
          <w:lang w:val="en-GB"/>
        </w:rPr>
      </w:pPr>
    </w:p>
    <w:p w:rsidR="00375161" w:rsidRPr="008D3C1A" w:rsidRDefault="00375161"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In 1975</w:t>
      </w:r>
      <w:r w:rsidR="00EB25E9" w:rsidRPr="008D3C1A">
        <w:rPr>
          <w:rFonts w:ascii="Times New Roman" w:hAnsi="Times New Roman"/>
          <w:sz w:val="22"/>
          <w:szCs w:val="22"/>
          <w:lang w:val="en-GB"/>
        </w:rPr>
        <w:t>,</w:t>
      </w:r>
      <w:r w:rsidRPr="008D3C1A">
        <w:rPr>
          <w:rFonts w:ascii="Times New Roman" w:hAnsi="Times New Roman"/>
          <w:sz w:val="22"/>
          <w:szCs w:val="22"/>
          <w:lang w:val="en-GB"/>
        </w:rPr>
        <w:t xml:space="preserve"> the domestic capital market was fully liberali</w:t>
      </w:r>
      <w:r w:rsidR="00EA5066" w:rsidRPr="008D3C1A">
        <w:rPr>
          <w:rFonts w:ascii="Times New Roman" w:hAnsi="Times New Roman"/>
          <w:sz w:val="22"/>
          <w:szCs w:val="22"/>
          <w:lang w:val="en-GB"/>
        </w:rPr>
        <w:t>s</w:t>
      </w:r>
      <w:r w:rsidRPr="008D3C1A">
        <w:rPr>
          <w:rFonts w:ascii="Times New Roman" w:hAnsi="Times New Roman"/>
          <w:sz w:val="22"/>
          <w:szCs w:val="22"/>
          <w:lang w:val="en-GB"/>
        </w:rPr>
        <w:t>ed under weak regulations (the “market knows”), import policy was moving toward free trade</w:t>
      </w:r>
      <w:r w:rsidR="00EB25E9" w:rsidRPr="008D3C1A">
        <w:rPr>
          <w:rFonts w:ascii="Times New Roman" w:hAnsi="Times New Roman"/>
          <w:sz w:val="22"/>
          <w:szCs w:val="22"/>
          <w:lang w:val="en-GB"/>
        </w:rPr>
        <w:t xml:space="preserve"> and</w:t>
      </w:r>
      <w:r w:rsidRPr="008D3C1A">
        <w:rPr>
          <w:rFonts w:ascii="Times New Roman" w:hAnsi="Times New Roman"/>
          <w:sz w:val="22"/>
          <w:szCs w:val="22"/>
          <w:lang w:val="en-GB"/>
        </w:rPr>
        <w:t xml:space="preserve"> taxes on profits had been drastically reduced</w:t>
      </w:r>
      <w:r w:rsidR="00EB25E9" w:rsidRPr="008D3C1A">
        <w:rPr>
          <w:rFonts w:ascii="Times New Roman" w:hAnsi="Times New Roman"/>
          <w:sz w:val="22"/>
          <w:szCs w:val="22"/>
          <w:lang w:val="en-GB"/>
        </w:rPr>
        <w:t>,</w:t>
      </w:r>
      <w:r w:rsidRPr="008D3C1A">
        <w:rPr>
          <w:rFonts w:ascii="Times New Roman" w:hAnsi="Times New Roman"/>
          <w:sz w:val="22"/>
          <w:szCs w:val="22"/>
          <w:lang w:val="en-GB"/>
        </w:rPr>
        <w:t xml:space="preserve"> as well as public investment and real wages. </w:t>
      </w:r>
      <w:r w:rsidR="00610291">
        <w:rPr>
          <w:rFonts w:ascii="Times New Roman" w:hAnsi="Times New Roman"/>
          <w:sz w:val="22"/>
          <w:szCs w:val="22"/>
          <w:lang w:val="en-GB"/>
        </w:rPr>
        <w:t>Shortly after, t</w:t>
      </w:r>
      <w:r w:rsidR="00610291" w:rsidRPr="008D3C1A">
        <w:rPr>
          <w:rFonts w:ascii="Times New Roman" w:hAnsi="Times New Roman"/>
          <w:sz w:val="22"/>
          <w:szCs w:val="22"/>
          <w:lang w:val="en-GB"/>
        </w:rPr>
        <w:t xml:space="preserve">he fiscal budget shifted to a surplus. </w:t>
      </w:r>
    </w:p>
    <w:p w:rsidR="00375161" w:rsidRPr="008D3C1A" w:rsidRDefault="00375161"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 xml:space="preserve">In the meantime, international capital markets had become highly liquid, </w:t>
      </w:r>
      <w:r w:rsidR="00EB25E9" w:rsidRPr="008D3C1A">
        <w:rPr>
          <w:rFonts w:ascii="Times New Roman" w:hAnsi="Times New Roman"/>
          <w:sz w:val="22"/>
          <w:szCs w:val="22"/>
          <w:lang w:val="en-GB"/>
        </w:rPr>
        <w:t>seeking</w:t>
      </w:r>
      <w:r w:rsidRPr="008D3C1A">
        <w:rPr>
          <w:rFonts w:ascii="Times New Roman" w:hAnsi="Times New Roman"/>
          <w:sz w:val="22"/>
          <w:szCs w:val="22"/>
          <w:lang w:val="en-GB"/>
        </w:rPr>
        <w:t xml:space="preserve"> newer destinations </w:t>
      </w:r>
      <w:r w:rsidR="00EB25E9" w:rsidRPr="008D3C1A">
        <w:rPr>
          <w:rFonts w:ascii="Times New Roman" w:hAnsi="Times New Roman"/>
          <w:sz w:val="22"/>
          <w:szCs w:val="22"/>
          <w:lang w:val="en-GB"/>
        </w:rPr>
        <w:t xml:space="preserve">for </w:t>
      </w:r>
      <w:r w:rsidRPr="008D3C1A">
        <w:rPr>
          <w:rFonts w:ascii="Times New Roman" w:hAnsi="Times New Roman"/>
          <w:sz w:val="22"/>
          <w:szCs w:val="22"/>
          <w:lang w:val="en-GB"/>
        </w:rPr>
        <w:t>their supply, including several Latin American nations. By 1977</w:t>
      </w:r>
      <w:r w:rsidR="00EB25E9" w:rsidRPr="008D3C1A">
        <w:rPr>
          <w:rFonts w:ascii="Times New Roman" w:hAnsi="Times New Roman"/>
          <w:sz w:val="22"/>
          <w:szCs w:val="22"/>
          <w:lang w:val="en-GB"/>
        </w:rPr>
        <w:t>,</w:t>
      </w:r>
      <w:r w:rsidRPr="008D3C1A">
        <w:rPr>
          <w:rFonts w:ascii="Times New Roman" w:hAnsi="Times New Roman"/>
          <w:sz w:val="22"/>
          <w:szCs w:val="22"/>
          <w:lang w:val="en-GB"/>
        </w:rPr>
        <w:t xml:space="preserve"> Chile </w:t>
      </w:r>
      <w:r w:rsidR="00EB25E9" w:rsidRPr="008D3C1A">
        <w:rPr>
          <w:rFonts w:ascii="Times New Roman" w:hAnsi="Times New Roman"/>
          <w:sz w:val="22"/>
          <w:szCs w:val="22"/>
          <w:lang w:val="en-GB"/>
        </w:rPr>
        <w:t xml:space="preserve">had </w:t>
      </w:r>
      <w:r w:rsidRPr="008D3C1A">
        <w:rPr>
          <w:rFonts w:ascii="Times New Roman" w:hAnsi="Times New Roman"/>
          <w:sz w:val="22"/>
          <w:szCs w:val="22"/>
          <w:lang w:val="en-GB"/>
        </w:rPr>
        <w:t>started to receive huge capital inflows, mostly bank loans</w:t>
      </w:r>
      <w:r w:rsidR="00EB25E9" w:rsidRPr="008D3C1A">
        <w:rPr>
          <w:rFonts w:ascii="Times New Roman" w:hAnsi="Times New Roman"/>
          <w:sz w:val="22"/>
          <w:szCs w:val="22"/>
          <w:lang w:val="en-GB"/>
        </w:rPr>
        <w:t xml:space="preserve">.Indeed, given </w:t>
      </w:r>
      <w:r w:rsidRPr="008D3C1A">
        <w:rPr>
          <w:rFonts w:ascii="Times New Roman" w:hAnsi="Times New Roman"/>
          <w:sz w:val="22"/>
          <w:szCs w:val="22"/>
          <w:lang w:val="en-GB"/>
        </w:rPr>
        <w:t xml:space="preserve">that the public budget was </w:t>
      </w:r>
      <w:r w:rsidR="00532464">
        <w:rPr>
          <w:rFonts w:ascii="Times New Roman" w:hAnsi="Times New Roman"/>
          <w:sz w:val="22"/>
          <w:szCs w:val="22"/>
          <w:lang w:val="en-GB"/>
        </w:rPr>
        <w:t xml:space="preserve">then </w:t>
      </w:r>
      <w:r w:rsidRPr="008D3C1A">
        <w:rPr>
          <w:rFonts w:ascii="Times New Roman" w:hAnsi="Times New Roman"/>
          <w:sz w:val="22"/>
          <w:szCs w:val="22"/>
          <w:lang w:val="en-GB"/>
        </w:rPr>
        <w:t>in surplus, they reached the private sector. A passive or neutral public policy allowed inflows, which appreciated the exchange rate and increased domestic demand.</w:t>
      </w:r>
      <w:r w:rsidRPr="008D3C1A">
        <w:rPr>
          <w:rStyle w:val="Refdenotaalpie"/>
          <w:rFonts w:ascii="Times New Roman" w:hAnsi="Times New Roman"/>
          <w:sz w:val="22"/>
          <w:szCs w:val="22"/>
          <w:lang w:val="en-GB"/>
        </w:rPr>
        <w:footnoteReference w:id="6"/>
      </w:r>
      <w:r w:rsidR="000D5D47" w:rsidRPr="008D3C1A">
        <w:rPr>
          <w:rFonts w:ascii="Times New Roman" w:hAnsi="Times New Roman"/>
          <w:sz w:val="22"/>
          <w:szCs w:val="22"/>
          <w:lang w:val="en-GB"/>
        </w:rPr>
        <w:t>Naturally</w:t>
      </w:r>
      <w:r w:rsidRPr="008D3C1A">
        <w:rPr>
          <w:rFonts w:ascii="Times New Roman" w:hAnsi="Times New Roman"/>
          <w:sz w:val="22"/>
          <w:szCs w:val="22"/>
          <w:lang w:val="en-GB"/>
        </w:rPr>
        <w:t xml:space="preserve">, the deepening exchange rate appreciation </w:t>
      </w:r>
      <w:r w:rsidR="005537D1" w:rsidRPr="008D3C1A">
        <w:rPr>
          <w:rFonts w:ascii="Times New Roman" w:hAnsi="Times New Roman"/>
          <w:sz w:val="22"/>
          <w:szCs w:val="22"/>
          <w:lang w:val="en-GB"/>
        </w:rPr>
        <w:t xml:space="preserve">significantly </w:t>
      </w:r>
      <w:r w:rsidRPr="008D3C1A">
        <w:rPr>
          <w:rFonts w:ascii="Times New Roman" w:hAnsi="Times New Roman"/>
          <w:sz w:val="22"/>
          <w:szCs w:val="22"/>
          <w:lang w:val="en-GB"/>
        </w:rPr>
        <w:t xml:space="preserve">contributed to the drastic </w:t>
      </w:r>
      <w:r w:rsidR="005537D1" w:rsidRPr="008D3C1A">
        <w:rPr>
          <w:rFonts w:ascii="Times New Roman" w:hAnsi="Times New Roman"/>
          <w:sz w:val="22"/>
          <w:szCs w:val="22"/>
          <w:lang w:val="en-GB"/>
        </w:rPr>
        <w:t>decline in inflation</w:t>
      </w:r>
      <w:r w:rsidRPr="008D3C1A">
        <w:rPr>
          <w:rFonts w:ascii="Times New Roman" w:hAnsi="Times New Roman"/>
          <w:sz w:val="22"/>
          <w:szCs w:val="22"/>
          <w:lang w:val="en-GB"/>
        </w:rPr>
        <w:t xml:space="preserve"> by the early 1980s.</w:t>
      </w:r>
    </w:p>
    <w:p w:rsidR="00375161" w:rsidRPr="008D3C1A" w:rsidRDefault="005537D1"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However,</w:t>
      </w:r>
      <w:r w:rsidR="00375161" w:rsidRPr="008D3C1A">
        <w:rPr>
          <w:rFonts w:ascii="Times New Roman" w:hAnsi="Times New Roman"/>
          <w:sz w:val="22"/>
          <w:szCs w:val="22"/>
          <w:lang w:val="en-GB"/>
        </w:rPr>
        <w:t xml:space="preserve"> in parallel, trade liberali</w:t>
      </w:r>
      <w:r w:rsidR="00EA5066" w:rsidRPr="008D3C1A">
        <w:rPr>
          <w:rFonts w:ascii="Times New Roman" w:hAnsi="Times New Roman"/>
          <w:sz w:val="22"/>
          <w:szCs w:val="22"/>
          <w:lang w:val="en-GB"/>
        </w:rPr>
        <w:t>s</w:t>
      </w:r>
      <w:r w:rsidR="00375161" w:rsidRPr="008D3C1A">
        <w:rPr>
          <w:rFonts w:ascii="Times New Roman" w:hAnsi="Times New Roman"/>
          <w:sz w:val="22"/>
          <w:szCs w:val="22"/>
          <w:lang w:val="en-GB"/>
        </w:rPr>
        <w:t xml:space="preserve">ation plus exchange </w:t>
      </w:r>
      <w:r w:rsidR="002F27BE" w:rsidRPr="008D3C1A">
        <w:rPr>
          <w:rFonts w:ascii="Times New Roman" w:hAnsi="Times New Roman"/>
          <w:sz w:val="22"/>
          <w:szCs w:val="22"/>
          <w:lang w:val="en-GB"/>
        </w:rPr>
        <w:t>rate</w:t>
      </w:r>
      <w:r w:rsidR="00375161" w:rsidRPr="008D3C1A">
        <w:rPr>
          <w:rFonts w:ascii="Times New Roman" w:hAnsi="Times New Roman"/>
          <w:sz w:val="22"/>
          <w:szCs w:val="22"/>
          <w:lang w:val="en-GB"/>
        </w:rPr>
        <w:t xml:space="preserve">appreciation encouraged </w:t>
      </w:r>
      <w:r w:rsidR="00375161" w:rsidRPr="008D3C1A">
        <w:rPr>
          <w:rFonts w:ascii="Times New Roman" w:hAnsi="Times New Roman"/>
          <w:sz w:val="22"/>
          <w:szCs w:val="22"/>
          <w:lang w:val="en-GB"/>
        </w:rPr>
        <w:lastRenderedPageBreak/>
        <w:t xml:space="preserve">imports, which increased </w:t>
      </w:r>
      <w:r w:rsidR="00BE17CC">
        <w:rPr>
          <w:rFonts w:ascii="Times New Roman" w:hAnsi="Times New Roman"/>
          <w:sz w:val="22"/>
          <w:szCs w:val="22"/>
          <w:lang w:val="en-GB"/>
        </w:rPr>
        <w:t xml:space="preserve">faster </w:t>
      </w:r>
      <w:r w:rsidR="00375161" w:rsidRPr="008D3C1A">
        <w:rPr>
          <w:rFonts w:ascii="Times New Roman" w:hAnsi="Times New Roman"/>
          <w:sz w:val="22"/>
          <w:szCs w:val="22"/>
          <w:lang w:val="en-GB"/>
        </w:rPr>
        <w:t>than exports</w:t>
      </w:r>
      <w:r w:rsidRPr="008D3C1A">
        <w:rPr>
          <w:rFonts w:ascii="Times New Roman" w:hAnsi="Times New Roman"/>
          <w:sz w:val="22"/>
          <w:szCs w:val="22"/>
          <w:lang w:val="en-GB"/>
        </w:rPr>
        <w:t>, in a</w:t>
      </w:r>
      <w:r w:rsidR="00375161" w:rsidRPr="008D3C1A">
        <w:rPr>
          <w:rFonts w:ascii="Times New Roman" w:hAnsi="Times New Roman"/>
          <w:sz w:val="22"/>
          <w:szCs w:val="22"/>
          <w:lang w:val="en-GB"/>
        </w:rPr>
        <w:t xml:space="preserve"> trend </w:t>
      </w:r>
      <w:r w:rsidRPr="008D3C1A">
        <w:rPr>
          <w:rFonts w:ascii="Times New Roman" w:hAnsi="Times New Roman"/>
          <w:sz w:val="22"/>
          <w:szCs w:val="22"/>
          <w:lang w:val="en-GB"/>
        </w:rPr>
        <w:t xml:space="preserve">that </w:t>
      </w:r>
      <w:r w:rsidR="00375161" w:rsidRPr="008D3C1A">
        <w:rPr>
          <w:rFonts w:ascii="Times New Roman" w:hAnsi="Times New Roman"/>
          <w:sz w:val="22"/>
          <w:szCs w:val="22"/>
          <w:lang w:val="en-GB"/>
        </w:rPr>
        <w:t xml:space="preserve">continued for </w:t>
      </w:r>
      <w:r w:rsidRPr="008D3C1A">
        <w:rPr>
          <w:rFonts w:ascii="Times New Roman" w:hAnsi="Times New Roman"/>
          <w:sz w:val="22"/>
          <w:szCs w:val="22"/>
          <w:lang w:val="en-GB"/>
        </w:rPr>
        <w:t xml:space="preserve">almost </w:t>
      </w:r>
      <w:r w:rsidR="00375161" w:rsidRPr="008D3C1A">
        <w:rPr>
          <w:rFonts w:ascii="Times New Roman" w:hAnsi="Times New Roman"/>
          <w:sz w:val="22"/>
          <w:szCs w:val="22"/>
          <w:lang w:val="en-GB"/>
        </w:rPr>
        <w:t xml:space="preserve">five years. Unavoidably, foreign debt of the private sector was accumulating. </w:t>
      </w:r>
    </w:p>
    <w:p w:rsidR="00375161" w:rsidRPr="008D3C1A" w:rsidRDefault="00375161"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 xml:space="preserve">In parallel, actual GDP was </w:t>
      </w:r>
      <w:r w:rsidR="00E60A99">
        <w:rPr>
          <w:rFonts w:ascii="Times New Roman" w:hAnsi="Times New Roman"/>
          <w:sz w:val="22"/>
          <w:szCs w:val="22"/>
          <w:lang w:val="en-GB"/>
        </w:rPr>
        <w:t>fast</w:t>
      </w:r>
      <w:r w:rsidRPr="008D3C1A">
        <w:rPr>
          <w:rFonts w:ascii="Times New Roman" w:hAnsi="Times New Roman"/>
          <w:sz w:val="22"/>
          <w:szCs w:val="22"/>
          <w:lang w:val="en-GB"/>
        </w:rPr>
        <w:t xml:space="preserve">increasing, even though output capacity was rising quite slowly. In fact, the </w:t>
      </w:r>
      <w:r w:rsidR="00532464">
        <w:rPr>
          <w:rFonts w:ascii="Times New Roman" w:hAnsi="Times New Roman"/>
          <w:sz w:val="22"/>
          <w:szCs w:val="22"/>
          <w:lang w:val="en-GB"/>
        </w:rPr>
        <w:t xml:space="preserve">difference was made by the </w:t>
      </w:r>
      <w:r w:rsidRPr="008D3C1A">
        <w:rPr>
          <w:rFonts w:ascii="Times New Roman" w:hAnsi="Times New Roman"/>
          <w:sz w:val="22"/>
          <w:szCs w:val="22"/>
          <w:lang w:val="en-GB"/>
        </w:rPr>
        <w:t>reutili</w:t>
      </w:r>
      <w:r w:rsidR="00EA5066" w:rsidRPr="008D3C1A">
        <w:rPr>
          <w:rFonts w:ascii="Times New Roman" w:hAnsi="Times New Roman"/>
          <w:sz w:val="22"/>
          <w:szCs w:val="22"/>
          <w:lang w:val="en-GB"/>
        </w:rPr>
        <w:t>s</w:t>
      </w:r>
      <w:r w:rsidRPr="008D3C1A">
        <w:rPr>
          <w:rFonts w:ascii="Times New Roman" w:hAnsi="Times New Roman"/>
          <w:sz w:val="22"/>
          <w:szCs w:val="22"/>
          <w:lang w:val="en-GB"/>
        </w:rPr>
        <w:t xml:space="preserve">ation of the large output gap </w:t>
      </w:r>
      <w:r w:rsidR="00532464">
        <w:rPr>
          <w:rFonts w:ascii="Times New Roman" w:hAnsi="Times New Roman"/>
          <w:sz w:val="22"/>
          <w:szCs w:val="22"/>
          <w:lang w:val="en-GB"/>
        </w:rPr>
        <w:t xml:space="preserve">--of about 20% between actual and potential GDP-- </w:t>
      </w:r>
      <w:r w:rsidRPr="008D3C1A">
        <w:rPr>
          <w:rFonts w:ascii="Times New Roman" w:hAnsi="Times New Roman"/>
          <w:sz w:val="22"/>
          <w:szCs w:val="22"/>
          <w:lang w:val="en-GB"/>
        </w:rPr>
        <w:t>generated in the recession of 1975. Investment in new capacity was low, with the gross investment ratio averaging 16</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of GDP in 1974</w:t>
      </w:r>
      <w:r w:rsidR="005024D3" w:rsidRPr="008D3C1A">
        <w:rPr>
          <w:rFonts w:ascii="Times New Roman" w:hAnsi="Times New Roman"/>
          <w:sz w:val="22"/>
          <w:szCs w:val="22"/>
          <w:lang w:val="en-GB"/>
        </w:rPr>
        <w:t>–</w:t>
      </w:r>
      <w:r w:rsidRPr="008D3C1A">
        <w:rPr>
          <w:rFonts w:ascii="Times New Roman" w:hAnsi="Times New Roman"/>
          <w:sz w:val="22"/>
          <w:szCs w:val="22"/>
          <w:lang w:val="en-GB"/>
        </w:rPr>
        <w:t>81</w:t>
      </w:r>
      <w:r w:rsidR="005537D1" w:rsidRPr="008D3C1A">
        <w:rPr>
          <w:rFonts w:ascii="Times New Roman" w:hAnsi="Times New Roman"/>
          <w:sz w:val="22"/>
          <w:szCs w:val="22"/>
          <w:lang w:val="en-GB"/>
        </w:rPr>
        <w:t>,</w:t>
      </w:r>
      <w:r w:rsidRPr="008D3C1A">
        <w:rPr>
          <w:rFonts w:ascii="Times New Roman" w:hAnsi="Times New Roman"/>
          <w:sz w:val="22"/>
          <w:szCs w:val="22"/>
          <w:lang w:val="en-GB"/>
        </w:rPr>
        <w:t xml:space="preserve"> much lower than </w:t>
      </w:r>
      <w:r w:rsidR="005537D1" w:rsidRPr="008D3C1A">
        <w:rPr>
          <w:rFonts w:ascii="Times New Roman" w:hAnsi="Times New Roman"/>
          <w:sz w:val="22"/>
          <w:szCs w:val="22"/>
          <w:lang w:val="en-GB"/>
        </w:rPr>
        <w:t xml:space="preserve">the </w:t>
      </w:r>
      <w:r w:rsidRPr="008D3C1A">
        <w:rPr>
          <w:rFonts w:ascii="Times New Roman" w:hAnsi="Times New Roman"/>
          <w:sz w:val="22"/>
          <w:szCs w:val="22"/>
          <w:lang w:val="en-GB"/>
        </w:rPr>
        <w:t>20</w:t>
      </w:r>
      <w:r w:rsidR="005024D3" w:rsidRPr="008D3C1A">
        <w:rPr>
          <w:rFonts w:ascii="Times New Roman" w:hAnsi="Times New Roman"/>
          <w:sz w:val="22"/>
          <w:szCs w:val="22"/>
          <w:lang w:val="en-GB"/>
        </w:rPr>
        <w:t xml:space="preserve"> per cent</w:t>
      </w:r>
      <w:r w:rsidR="005537D1" w:rsidRPr="008D3C1A">
        <w:rPr>
          <w:rFonts w:ascii="Times New Roman" w:hAnsi="Times New Roman"/>
          <w:sz w:val="22"/>
          <w:szCs w:val="22"/>
          <w:lang w:val="en-GB"/>
        </w:rPr>
        <w:t xml:space="preserve">recorded </w:t>
      </w:r>
      <w:r w:rsidRPr="008D3C1A">
        <w:rPr>
          <w:rFonts w:ascii="Times New Roman" w:hAnsi="Times New Roman"/>
          <w:sz w:val="22"/>
          <w:szCs w:val="22"/>
          <w:lang w:val="en-GB"/>
        </w:rPr>
        <w:t xml:space="preserve">in the </w:t>
      </w:r>
      <w:r w:rsidR="005537D1" w:rsidRPr="008D3C1A">
        <w:rPr>
          <w:rFonts w:ascii="Times New Roman" w:hAnsi="Times New Roman"/>
          <w:sz w:val="22"/>
          <w:szCs w:val="22"/>
          <w:lang w:val="en-GB"/>
        </w:rPr>
        <w:t>1960s</w:t>
      </w:r>
      <w:r w:rsidRPr="008D3C1A">
        <w:rPr>
          <w:rFonts w:ascii="Times New Roman" w:hAnsi="Times New Roman"/>
          <w:sz w:val="22"/>
          <w:szCs w:val="22"/>
          <w:lang w:val="en-GB"/>
        </w:rPr>
        <w:t>. Foreign loans were overwhelmingly used in imports of consumer goods, with limited imports of equipment and machinery. In the process, debt amorti</w:t>
      </w:r>
      <w:r w:rsidR="00EA5066" w:rsidRPr="008D3C1A">
        <w:rPr>
          <w:rFonts w:ascii="Times New Roman" w:hAnsi="Times New Roman"/>
          <w:sz w:val="22"/>
          <w:szCs w:val="22"/>
          <w:lang w:val="en-GB"/>
        </w:rPr>
        <w:t>s</w:t>
      </w:r>
      <w:r w:rsidRPr="008D3C1A">
        <w:rPr>
          <w:rFonts w:ascii="Times New Roman" w:hAnsi="Times New Roman"/>
          <w:sz w:val="22"/>
          <w:szCs w:val="22"/>
          <w:lang w:val="en-GB"/>
        </w:rPr>
        <w:t xml:space="preserve">ation and interest payments rose </w:t>
      </w:r>
      <w:r w:rsidR="005537D1" w:rsidRPr="008D3C1A">
        <w:rPr>
          <w:rFonts w:ascii="Times New Roman" w:hAnsi="Times New Roman"/>
          <w:sz w:val="22"/>
          <w:szCs w:val="22"/>
          <w:lang w:val="en-GB"/>
        </w:rPr>
        <w:t>quickly</w:t>
      </w:r>
      <w:r w:rsidRPr="008D3C1A">
        <w:rPr>
          <w:rFonts w:ascii="Times New Roman" w:hAnsi="Times New Roman"/>
          <w:sz w:val="22"/>
          <w:szCs w:val="22"/>
          <w:lang w:val="en-GB"/>
        </w:rPr>
        <w:t xml:space="preserve"> and the deficit on current account was climbing, reaching an unsustainable 21</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of GDP in 1981.</w:t>
      </w:r>
      <w:r w:rsidRPr="008D3C1A">
        <w:rPr>
          <w:rStyle w:val="Refdenotaalpie"/>
          <w:rFonts w:ascii="Times New Roman" w:hAnsi="Times New Roman"/>
          <w:sz w:val="22"/>
          <w:szCs w:val="22"/>
          <w:lang w:val="en-GB"/>
        </w:rPr>
        <w:footnoteReference w:id="7"/>
      </w:r>
    </w:p>
    <w:p w:rsidR="00375161" w:rsidRPr="008D3C1A" w:rsidRDefault="00083F16"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W</w:t>
      </w:r>
      <w:r w:rsidR="00375161" w:rsidRPr="008D3C1A">
        <w:rPr>
          <w:rFonts w:ascii="Times New Roman" w:hAnsi="Times New Roman"/>
          <w:sz w:val="22"/>
          <w:szCs w:val="22"/>
          <w:lang w:val="en-GB"/>
        </w:rPr>
        <w:t xml:space="preserve">hy </w:t>
      </w:r>
      <w:r w:rsidR="005537D1" w:rsidRPr="008D3C1A">
        <w:rPr>
          <w:rFonts w:ascii="Times New Roman" w:hAnsi="Times New Roman"/>
          <w:sz w:val="22"/>
          <w:szCs w:val="22"/>
          <w:lang w:val="en-GB"/>
        </w:rPr>
        <w:t xml:space="preserve">did </w:t>
      </w:r>
      <w:r w:rsidR="00375161" w:rsidRPr="008D3C1A">
        <w:rPr>
          <w:rFonts w:ascii="Times New Roman" w:hAnsi="Times New Roman"/>
          <w:sz w:val="22"/>
          <w:szCs w:val="22"/>
          <w:lang w:val="en-GB"/>
        </w:rPr>
        <w:t>the investment ratio average merely 16</w:t>
      </w:r>
      <w:r w:rsidR="005024D3" w:rsidRPr="008D3C1A">
        <w:rPr>
          <w:rFonts w:ascii="Times New Roman" w:hAnsi="Times New Roman"/>
          <w:sz w:val="22"/>
          <w:szCs w:val="22"/>
          <w:lang w:val="en-GB"/>
        </w:rPr>
        <w:t xml:space="preserve"> per cent</w:t>
      </w:r>
      <w:r w:rsidR="00375161" w:rsidRPr="008D3C1A">
        <w:rPr>
          <w:rFonts w:ascii="Times New Roman" w:hAnsi="Times New Roman"/>
          <w:sz w:val="22"/>
          <w:szCs w:val="22"/>
          <w:lang w:val="en-GB"/>
        </w:rPr>
        <w:t xml:space="preserve"> of GDP</w:t>
      </w:r>
      <w:r w:rsidRPr="008D3C1A">
        <w:rPr>
          <w:rFonts w:ascii="Times New Roman" w:hAnsi="Times New Roman"/>
          <w:sz w:val="22"/>
          <w:szCs w:val="22"/>
          <w:lang w:val="en-GB"/>
        </w:rPr>
        <w:t xml:space="preserve">? </w:t>
      </w:r>
      <w:r w:rsidR="00375161" w:rsidRPr="008D3C1A">
        <w:rPr>
          <w:rFonts w:ascii="Times New Roman" w:hAnsi="Times New Roman"/>
          <w:sz w:val="22"/>
          <w:szCs w:val="22"/>
          <w:lang w:val="en-GB"/>
        </w:rPr>
        <w:t xml:space="preserve">First, after the large output gap generated in 1975, actual GDP </w:t>
      </w:r>
      <w:r w:rsidR="005537D1" w:rsidRPr="008D3C1A">
        <w:rPr>
          <w:rFonts w:ascii="Times New Roman" w:hAnsi="Times New Roman"/>
          <w:sz w:val="22"/>
          <w:szCs w:val="22"/>
          <w:lang w:val="en-GB"/>
        </w:rPr>
        <w:t xml:space="preserve">only </w:t>
      </w:r>
      <w:r w:rsidR="00375161" w:rsidRPr="008D3C1A">
        <w:rPr>
          <w:rFonts w:ascii="Times New Roman" w:hAnsi="Times New Roman"/>
          <w:sz w:val="22"/>
          <w:szCs w:val="22"/>
          <w:lang w:val="en-GB"/>
        </w:rPr>
        <w:t xml:space="preserve">became </w:t>
      </w:r>
      <w:r w:rsidR="005537D1" w:rsidRPr="008D3C1A">
        <w:rPr>
          <w:rFonts w:ascii="Times New Roman" w:hAnsi="Times New Roman"/>
          <w:sz w:val="22"/>
          <w:szCs w:val="22"/>
          <w:lang w:val="en-GB"/>
        </w:rPr>
        <w:t xml:space="preserve">close </w:t>
      </w:r>
      <w:r w:rsidR="00375161" w:rsidRPr="008D3C1A">
        <w:rPr>
          <w:rFonts w:ascii="Times New Roman" w:hAnsi="Times New Roman"/>
          <w:sz w:val="22"/>
          <w:szCs w:val="22"/>
          <w:lang w:val="en-GB"/>
        </w:rPr>
        <w:t>again to potential GDP</w:t>
      </w:r>
      <w:r w:rsidR="005537D1" w:rsidRPr="008D3C1A">
        <w:rPr>
          <w:rFonts w:ascii="Times New Roman" w:hAnsi="Times New Roman"/>
          <w:sz w:val="22"/>
          <w:szCs w:val="22"/>
          <w:lang w:val="en-GB"/>
        </w:rPr>
        <w:t xml:space="preserve"> in 1981</w:t>
      </w:r>
      <w:r w:rsidR="00375161" w:rsidRPr="008D3C1A">
        <w:rPr>
          <w:rFonts w:ascii="Times New Roman" w:hAnsi="Times New Roman"/>
          <w:sz w:val="22"/>
          <w:szCs w:val="22"/>
          <w:lang w:val="en-GB"/>
        </w:rPr>
        <w:t>. Thus, the macroeconomic environment involved high rates of underutili</w:t>
      </w:r>
      <w:r w:rsidR="00EA5066" w:rsidRPr="008D3C1A">
        <w:rPr>
          <w:rFonts w:ascii="Times New Roman" w:hAnsi="Times New Roman"/>
          <w:sz w:val="22"/>
          <w:szCs w:val="22"/>
          <w:lang w:val="en-GB"/>
        </w:rPr>
        <w:t>s</w:t>
      </w:r>
      <w:r w:rsidR="00375161" w:rsidRPr="008D3C1A">
        <w:rPr>
          <w:rFonts w:ascii="Times New Roman" w:hAnsi="Times New Roman"/>
          <w:sz w:val="22"/>
          <w:szCs w:val="22"/>
          <w:lang w:val="en-GB"/>
        </w:rPr>
        <w:t>ation of productive capacity for several years. This persistent output or recessive gap was a main factor discouraging gross capital formation (Agosin, 1998; Ffrench-Davis, 2006</w:t>
      </w:r>
      <w:r w:rsidR="00610291">
        <w:rPr>
          <w:rFonts w:ascii="Times New Roman" w:hAnsi="Times New Roman"/>
          <w:sz w:val="22"/>
          <w:szCs w:val="22"/>
          <w:lang w:val="en-GB"/>
        </w:rPr>
        <w:t>; Solimano, 1990</w:t>
      </w:r>
      <w:r w:rsidR="00375161" w:rsidRPr="008D3C1A">
        <w:rPr>
          <w:rFonts w:ascii="Times New Roman" w:hAnsi="Times New Roman"/>
          <w:sz w:val="22"/>
          <w:szCs w:val="22"/>
          <w:lang w:val="en-GB"/>
        </w:rPr>
        <w:t xml:space="preserve">). Naturally, when entrepreneurs are not using a significant part of their capacity, profits are lower and </w:t>
      </w:r>
      <w:r w:rsidR="005537D1" w:rsidRPr="008D3C1A">
        <w:rPr>
          <w:rFonts w:ascii="Times New Roman" w:hAnsi="Times New Roman"/>
          <w:sz w:val="22"/>
          <w:szCs w:val="22"/>
          <w:lang w:val="en-GB"/>
        </w:rPr>
        <w:t xml:space="preserve">thus </w:t>
      </w:r>
      <w:r w:rsidR="00C2569D" w:rsidRPr="008D3C1A">
        <w:rPr>
          <w:rFonts w:ascii="Times New Roman" w:hAnsi="Times New Roman"/>
          <w:sz w:val="22"/>
          <w:szCs w:val="22"/>
          <w:lang w:val="en-GB"/>
        </w:rPr>
        <w:t xml:space="preserve">entrepreneurs </w:t>
      </w:r>
      <w:r w:rsidR="00375161" w:rsidRPr="008D3C1A">
        <w:rPr>
          <w:rFonts w:ascii="Times New Roman" w:hAnsi="Times New Roman"/>
          <w:sz w:val="22"/>
          <w:szCs w:val="22"/>
          <w:lang w:val="en-GB"/>
        </w:rPr>
        <w:t xml:space="preserve">have less liquid funds, all </w:t>
      </w:r>
      <w:r w:rsidR="005537D1" w:rsidRPr="008D3C1A">
        <w:rPr>
          <w:rFonts w:ascii="Times New Roman" w:hAnsi="Times New Roman"/>
          <w:sz w:val="22"/>
          <w:szCs w:val="22"/>
          <w:lang w:val="en-GB"/>
        </w:rPr>
        <w:t xml:space="preserve">of which </w:t>
      </w:r>
      <w:r w:rsidR="00375161" w:rsidRPr="008D3C1A">
        <w:rPr>
          <w:rFonts w:ascii="Times New Roman" w:hAnsi="Times New Roman"/>
          <w:sz w:val="22"/>
          <w:szCs w:val="22"/>
          <w:lang w:val="en-GB"/>
        </w:rPr>
        <w:t>evidently discourag</w:t>
      </w:r>
      <w:r w:rsidRPr="008D3C1A">
        <w:rPr>
          <w:rFonts w:ascii="Times New Roman" w:hAnsi="Times New Roman"/>
          <w:sz w:val="22"/>
          <w:szCs w:val="22"/>
          <w:lang w:val="en-GB"/>
        </w:rPr>
        <w:t>e</w:t>
      </w:r>
      <w:r w:rsidR="005537D1" w:rsidRPr="008D3C1A">
        <w:rPr>
          <w:rFonts w:ascii="Times New Roman" w:hAnsi="Times New Roman"/>
          <w:sz w:val="22"/>
          <w:szCs w:val="22"/>
          <w:lang w:val="en-GB"/>
        </w:rPr>
        <w:t>s</w:t>
      </w:r>
      <w:r w:rsidR="00375161" w:rsidRPr="008D3C1A">
        <w:rPr>
          <w:rFonts w:ascii="Times New Roman" w:hAnsi="Times New Roman"/>
          <w:sz w:val="22"/>
          <w:szCs w:val="22"/>
          <w:lang w:val="en-GB"/>
        </w:rPr>
        <w:t xml:space="preserve"> expanding their capacity. A</w:t>
      </w:r>
      <w:r w:rsidR="005537D1" w:rsidRPr="008D3C1A">
        <w:rPr>
          <w:rFonts w:ascii="Times New Roman" w:hAnsi="Times New Roman"/>
          <w:sz w:val="22"/>
          <w:szCs w:val="22"/>
          <w:lang w:val="en-GB"/>
        </w:rPr>
        <w:t xml:space="preserve">s atypical </w:t>
      </w:r>
      <w:r w:rsidR="00375161" w:rsidRPr="008D3C1A">
        <w:rPr>
          <w:rFonts w:ascii="Times New Roman" w:hAnsi="Times New Roman"/>
          <w:sz w:val="22"/>
          <w:szCs w:val="22"/>
          <w:lang w:val="en-GB"/>
        </w:rPr>
        <w:t>feature of financial crisis</w:t>
      </w:r>
      <w:r w:rsidR="005537D1" w:rsidRPr="008D3C1A">
        <w:rPr>
          <w:rFonts w:ascii="Times New Roman" w:hAnsi="Times New Roman"/>
          <w:sz w:val="22"/>
          <w:szCs w:val="22"/>
          <w:lang w:val="en-GB"/>
        </w:rPr>
        <w:t>,</w:t>
      </w:r>
      <w:r w:rsidR="00375161" w:rsidRPr="008D3C1A">
        <w:rPr>
          <w:rFonts w:ascii="Times New Roman" w:hAnsi="Times New Roman"/>
          <w:sz w:val="22"/>
          <w:szCs w:val="22"/>
          <w:lang w:val="en-GB"/>
        </w:rPr>
        <w:t xml:space="preserve"> abrupt recessions </w:t>
      </w:r>
      <w:r w:rsidR="005537D1" w:rsidRPr="008D3C1A">
        <w:rPr>
          <w:rFonts w:ascii="Times New Roman" w:hAnsi="Times New Roman"/>
          <w:sz w:val="22"/>
          <w:szCs w:val="22"/>
          <w:lang w:val="en-GB"/>
        </w:rPr>
        <w:t xml:space="preserve">being </w:t>
      </w:r>
      <w:r w:rsidR="00375161" w:rsidRPr="008D3C1A">
        <w:rPr>
          <w:rFonts w:ascii="Times New Roman" w:hAnsi="Times New Roman"/>
          <w:sz w:val="22"/>
          <w:szCs w:val="22"/>
          <w:lang w:val="en-GB"/>
        </w:rPr>
        <w:t xml:space="preserve">followed by gradual recoveries </w:t>
      </w:r>
      <w:r w:rsidR="005537D1" w:rsidRPr="008D3C1A">
        <w:rPr>
          <w:rFonts w:ascii="Times New Roman" w:hAnsi="Times New Roman"/>
          <w:sz w:val="22"/>
          <w:szCs w:val="22"/>
          <w:lang w:val="en-GB"/>
        </w:rPr>
        <w:t xml:space="preserve">clearly </w:t>
      </w:r>
      <w:r w:rsidR="00375161" w:rsidRPr="008D3C1A">
        <w:rPr>
          <w:rFonts w:ascii="Times New Roman" w:hAnsi="Times New Roman"/>
          <w:sz w:val="22"/>
          <w:szCs w:val="22"/>
          <w:lang w:val="en-GB"/>
        </w:rPr>
        <w:t>ha</w:t>
      </w:r>
      <w:r w:rsidR="005537D1" w:rsidRPr="008D3C1A">
        <w:rPr>
          <w:rFonts w:ascii="Times New Roman" w:hAnsi="Times New Roman"/>
          <w:sz w:val="22"/>
          <w:szCs w:val="22"/>
          <w:lang w:val="en-GB"/>
        </w:rPr>
        <w:t xml:space="preserve">s </w:t>
      </w:r>
      <w:r w:rsidR="00375161" w:rsidRPr="008D3C1A">
        <w:rPr>
          <w:rFonts w:ascii="Times New Roman" w:hAnsi="Times New Roman"/>
          <w:sz w:val="22"/>
          <w:szCs w:val="22"/>
          <w:lang w:val="en-GB"/>
        </w:rPr>
        <w:t>a significant negative incidence on productive investment, thus pressing downward the trend of GDP growth and the quality of employment.</w:t>
      </w:r>
    </w:p>
    <w:p w:rsidR="00375161" w:rsidRPr="008D3C1A" w:rsidRDefault="00375161"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 xml:space="preserve">Second, the financial reform (mostly implemented in 1975) gave way to a </w:t>
      </w:r>
      <w:r w:rsidR="002F27BE" w:rsidRPr="008D3C1A">
        <w:rPr>
          <w:rFonts w:ascii="Times New Roman" w:hAnsi="Times New Roman"/>
          <w:sz w:val="22"/>
          <w:szCs w:val="22"/>
          <w:lang w:val="en-GB"/>
        </w:rPr>
        <w:t>most</w:t>
      </w:r>
      <w:r w:rsidRPr="008D3C1A">
        <w:rPr>
          <w:rFonts w:ascii="Times New Roman" w:hAnsi="Times New Roman"/>
          <w:sz w:val="22"/>
          <w:szCs w:val="22"/>
          <w:lang w:val="en-GB"/>
        </w:rPr>
        <w:t xml:space="preserve">ly short-termist market with very high real interest rates charged on domestic loans. In fact, the most common loan held a </w:t>
      </w:r>
      <w:r w:rsidR="005537D1" w:rsidRPr="008D3C1A">
        <w:rPr>
          <w:rFonts w:ascii="Times New Roman" w:hAnsi="Times New Roman"/>
          <w:sz w:val="22"/>
          <w:szCs w:val="22"/>
          <w:lang w:val="en-GB"/>
        </w:rPr>
        <w:t>30-</w:t>
      </w:r>
      <w:r w:rsidRPr="008D3C1A">
        <w:rPr>
          <w:rFonts w:ascii="Times New Roman" w:hAnsi="Times New Roman"/>
          <w:sz w:val="22"/>
          <w:szCs w:val="22"/>
          <w:lang w:val="en-GB"/>
        </w:rPr>
        <w:t>day term, while the activities of public investment banks were curtailed and annual real lending interest rates of the banking system averaged 38</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w:t>
      </w:r>
      <w:r w:rsidR="005537D1" w:rsidRPr="008D3C1A">
        <w:rPr>
          <w:rFonts w:ascii="Times New Roman" w:hAnsi="Times New Roman"/>
          <w:sz w:val="22"/>
          <w:szCs w:val="22"/>
          <w:lang w:val="en-GB"/>
        </w:rPr>
        <w:t>reflecting</w:t>
      </w:r>
      <w:r w:rsidRPr="008D3C1A">
        <w:rPr>
          <w:rFonts w:ascii="Times New Roman" w:hAnsi="Times New Roman"/>
          <w:sz w:val="22"/>
          <w:szCs w:val="22"/>
          <w:lang w:val="en-GB"/>
        </w:rPr>
        <w:t xml:space="preserve"> a quite “outlier” macro-price) in 1975</w:t>
      </w:r>
      <w:r w:rsidR="00FF0AA7" w:rsidRPr="008D3C1A">
        <w:rPr>
          <w:rFonts w:ascii="Times New Roman" w:hAnsi="Times New Roman"/>
          <w:sz w:val="22"/>
          <w:szCs w:val="22"/>
          <w:lang w:val="en-GB"/>
        </w:rPr>
        <w:t>–</w:t>
      </w:r>
      <w:r w:rsidRPr="008D3C1A">
        <w:rPr>
          <w:rFonts w:ascii="Times New Roman" w:hAnsi="Times New Roman"/>
          <w:sz w:val="22"/>
          <w:szCs w:val="22"/>
          <w:lang w:val="en-GB"/>
        </w:rPr>
        <w:t>82.</w:t>
      </w:r>
    </w:p>
    <w:p w:rsidR="00375161" w:rsidRPr="008D3C1A" w:rsidRDefault="00375161"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Third, trade liberali</w:t>
      </w:r>
      <w:r w:rsidR="00EA5066" w:rsidRPr="008D3C1A">
        <w:rPr>
          <w:rFonts w:ascii="Times New Roman" w:hAnsi="Times New Roman"/>
          <w:sz w:val="22"/>
          <w:szCs w:val="22"/>
          <w:lang w:val="en-GB"/>
        </w:rPr>
        <w:t>s</w:t>
      </w:r>
      <w:r w:rsidRPr="008D3C1A">
        <w:rPr>
          <w:rFonts w:ascii="Times New Roman" w:hAnsi="Times New Roman"/>
          <w:sz w:val="22"/>
          <w:szCs w:val="22"/>
          <w:lang w:val="en-GB"/>
        </w:rPr>
        <w:t>ation-cum-exchange rate appreciation reduced the cost of imports, principally of consumer goods, with their domestic output being crowded-out. Liberali</w:t>
      </w:r>
      <w:r w:rsidR="00EA5066" w:rsidRPr="008D3C1A">
        <w:rPr>
          <w:rFonts w:ascii="Times New Roman" w:hAnsi="Times New Roman"/>
          <w:sz w:val="22"/>
          <w:szCs w:val="22"/>
          <w:lang w:val="en-GB"/>
        </w:rPr>
        <w:t>s</w:t>
      </w:r>
      <w:r w:rsidRPr="008D3C1A">
        <w:rPr>
          <w:rFonts w:ascii="Times New Roman" w:hAnsi="Times New Roman"/>
          <w:sz w:val="22"/>
          <w:szCs w:val="22"/>
          <w:lang w:val="en-GB"/>
        </w:rPr>
        <w:t>ation attracted investors in the production of exports with a much weaker force than the discouragement of domestic firms competing with imports, with a counter-expected drop in the share of tradables in GDP.</w:t>
      </w:r>
      <w:r w:rsidRPr="008D3C1A">
        <w:rPr>
          <w:rStyle w:val="Refdenotaalpie"/>
          <w:rFonts w:ascii="Times New Roman" w:hAnsi="Times New Roman"/>
          <w:sz w:val="22"/>
          <w:szCs w:val="22"/>
          <w:lang w:val="en-GB"/>
        </w:rPr>
        <w:footnoteReference w:id="8"/>
      </w:r>
      <w:r w:rsidRPr="008D3C1A">
        <w:rPr>
          <w:rFonts w:ascii="Times New Roman" w:hAnsi="Times New Roman"/>
          <w:sz w:val="22"/>
          <w:szCs w:val="22"/>
          <w:lang w:val="en-GB"/>
        </w:rPr>
        <w:t xml:space="preserve"> Additionally, large shares of bank lending were used by economic groups to purchase public firms being privati</w:t>
      </w:r>
      <w:r w:rsidR="00EA5066" w:rsidRPr="008D3C1A">
        <w:rPr>
          <w:rFonts w:ascii="Times New Roman" w:hAnsi="Times New Roman"/>
          <w:sz w:val="22"/>
          <w:szCs w:val="22"/>
          <w:lang w:val="en-GB"/>
        </w:rPr>
        <w:t>s</w:t>
      </w:r>
      <w:r w:rsidRPr="008D3C1A">
        <w:rPr>
          <w:rFonts w:ascii="Times New Roman" w:hAnsi="Times New Roman"/>
          <w:sz w:val="22"/>
          <w:szCs w:val="22"/>
          <w:lang w:val="en-GB"/>
        </w:rPr>
        <w:t>ed (fewer in creating new activities)</w:t>
      </w:r>
      <w:r w:rsidR="005537D1" w:rsidRPr="008D3C1A">
        <w:rPr>
          <w:rFonts w:ascii="Times New Roman" w:hAnsi="Times New Roman"/>
          <w:sz w:val="22"/>
          <w:szCs w:val="22"/>
          <w:lang w:val="en-GB"/>
        </w:rPr>
        <w:t>,</w:t>
      </w:r>
      <w:r w:rsidRPr="008D3C1A">
        <w:rPr>
          <w:rFonts w:ascii="Times New Roman" w:hAnsi="Times New Roman"/>
          <w:sz w:val="22"/>
          <w:szCs w:val="22"/>
          <w:lang w:val="en-GB"/>
        </w:rPr>
        <w:t xml:space="preserve"> as well as by </w:t>
      </w:r>
      <w:r w:rsidRPr="008D3C1A">
        <w:rPr>
          <w:rFonts w:ascii="Times New Roman" w:hAnsi="Times New Roman"/>
          <w:sz w:val="22"/>
          <w:szCs w:val="22"/>
          <w:lang w:val="en-GB"/>
        </w:rPr>
        <w:lastRenderedPageBreak/>
        <w:t xml:space="preserve">households </w:t>
      </w:r>
      <w:r w:rsidR="005537D1" w:rsidRPr="008D3C1A">
        <w:rPr>
          <w:rFonts w:ascii="Times New Roman" w:hAnsi="Times New Roman"/>
          <w:sz w:val="22"/>
          <w:szCs w:val="22"/>
          <w:lang w:val="en-GB"/>
        </w:rPr>
        <w:t xml:space="preserve">purchasing </w:t>
      </w:r>
      <w:r w:rsidRPr="008D3C1A">
        <w:rPr>
          <w:rFonts w:ascii="Times New Roman" w:hAnsi="Times New Roman"/>
          <w:sz w:val="22"/>
          <w:szCs w:val="22"/>
          <w:lang w:val="en-GB"/>
        </w:rPr>
        <w:t xml:space="preserve">imported consumer goods. Finally, financing productive investment </w:t>
      </w:r>
      <w:r w:rsidR="005537D1" w:rsidRPr="008D3C1A">
        <w:rPr>
          <w:rFonts w:ascii="Times New Roman" w:hAnsi="Times New Roman"/>
          <w:sz w:val="22"/>
          <w:szCs w:val="22"/>
          <w:lang w:val="en-GB"/>
        </w:rPr>
        <w:t>through</w:t>
      </w:r>
      <w:r w:rsidRPr="008D3C1A">
        <w:rPr>
          <w:rFonts w:ascii="Times New Roman" w:hAnsi="Times New Roman"/>
          <w:sz w:val="22"/>
          <w:szCs w:val="22"/>
          <w:lang w:val="en-GB"/>
        </w:rPr>
        <w:t xml:space="preserve"> increased inflows was notably scarce.It is crucial who intermediates capital inflows</w:t>
      </w:r>
      <w:r w:rsidR="005537D1" w:rsidRPr="008D3C1A">
        <w:rPr>
          <w:rFonts w:ascii="Times New Roman" w:hAnsi="Times New Roman"/>
          <w:sz w:val="22"/>
          <w:szCs w:val="22"/>
          <w:lang w:val="en-GB"/>
        </w:rPr>
        <w:t xml:space="preserve">, </w:t>
      </w:r>
      <w:r w:rsidR="00CE3DC9">
        <w:rPr>
          <w:rFonts w:ascii="Times New Roman" w:hAnsi="Times New Roman"/>
          <w:sz w:val="22"/>
          <w:szCs w:val="22"/>
          <w:lang w:val="en-GB"/>
        </w:rPr>
        <w:t xml:space="preserve">and </w:t>
      </w:r>
      <w:r w:rsidRPr="008D3C1A">
        <w:rPr>
          <w:rFonts w:ascii="Times New Roman" w:hAnsi="Times New Roman"/>
          <w:sz w:val="22"/>
          <w:szCs w:val="22"/>
          <w:lang w:val="en-GB"/>
        </w:rPr>
        <w:t xml:space="preserve">those intermediated by foreign direct investors (FDI) </w:t>
      </w:r>
      <w:r w:rsidR="005537D1" w:rsidRPr="008D3C1A">
        <w:rPr>
          <w:rFonts w:ascii="Times New Roman" w:hAnsi="Times New Roman"/>
          <w:sz w:val="22"/>
          <w:szCs w:val="22"/>
          <w:lang w:val="en-GB"/>
        </w:rPr>
        <w:t>represented a minority</w:t>
      </w:r>
      <w:r w:rsidRPr="008D3C1A">
        <w:rPr>
          <w:rFonts w:ascii="Times New Roman" w:hAnsi="Times New Roman"/>
          <w:sz w:val="22"/>
          <w:szCs w:val="22"/>
          <w:lang w:val="en-GB"/>
        </w:rPr>
        <w:t xml:space="preserve">.  </w:t>
      </w:r>
    </w:p>
    <w:p w:rsidR="00375161" w:rsidRPr="008D3C1A" w:rsidRDefault="00375161"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 xml:space="preserve">By 1981, success had been achieved in eliminating inflation, </w:t>
      </w:r>
      <w:r w:rsidR="00532464">
        <w:rPr>
          <w:rFonts w:ascii="Times New Roman" w:hAnsi="Times New Roman"/>
          <w:sz w:val="22"/>
          <w:szCs w:val="22"/>
          <w:lang w:val="en-GB"/>
        </w:rPr>
        <w:t xml:space="preserve">exhibiting </w:t>
      </w:r>
      <w:r w:rsidRPr="008D3C1A">
        <w:rPr>
          <w:rFonts w:ascii="Times New Roman" w:hAnsi="Times New Roman"/>
          <w:sz w:val="22"/>
          <w:szCs w:val="22"/>
          <w:lang w:val="en-GB"/>
        </w:rPr>
        <w:t xml:space="preserve">a large fiscal surplus (implying that the external deficit was completely from the private sector) </w:t>
      </w:r>
      <w:r w:rsidR="00FA2F27" w:rsidRPr="008D3C1A">
        <w:rPr>
          <w:rFonts w:ascii="Times New Roman" w:hAnsi="Times New Roman"/>
          <w:sz w:val="22"/>
          <w:szCs w:val="22"/>
          <w:lang w:val="en-GB"/>
        </w:rPr>
        <w:t xml:space="preserve">and </w:t>
      </w:r>
      <w:r w:rsidR="00532464">
        <w:rPr>
          <w:rFonts w:ascii="Times New Roman" w:hAnsi="Times New Roman"/>
          <w:sz w:val="22"/>
          <w:szCs w:val="22"/>
          <w:lang w:val="en-GB"/>
        </w:rPr>
        <w:t xml:space="preserve">a high </w:t>
      </w:r>
      <w:r w:rsidRPr="008D3C1A">
        <w:rPr>
          <w:rFonts w:ascii="Times New Roman" w:hAnsi="Times New Roman"/>
          <w:sz w:val="22"/>
          <w:szCs w:val="22"/>
          <w:lang w:val="en-GB"/>
        </w:rPr>
        <w:t xml:space="preserve">actual GDP </w:t>
      </w:r>
      <w:r w:rsidR="00FA2F27" w:rsidRPr="008D3C1A">
        <w:rPr>
          <w:rFonts w:ascii="Times New Roman" w:hAnsi="Times New Roman"/>
          <w:sz w:val="22"/>
          <w:szCs w:val="22"/>
          <w:lang w:val="en-GB"/>
        </w:rPr>
        <w:t>growth</w:t>
      </w:r>
      <w:r w:rsidR="00F85DF4">
        <w:rPr>
          <w:rFonts w:ascii="Times New Roman" w:hAnsi="Times New Roman"/>
          <w:sz w:val="22"/>
          <w:szCs w:val="22"/>
          <w:lang w:val="en-GB"/>
        </w:rPr>
        <w:t>between the depressed</w:t>
      </w:r>
      <w:r w:rsidR="00532464">
        <w:rPr>
          <w:rFonts w:ascii="Times New Roman" w:hAnsi="Times New Roman"/>
          <w:sz w:val="22"/>
          <w:szCs w:val="22"/>
          <w:lang w:val="en-GB"/>
        </w:rPr>
        <w:t xml:space="preserve"> 197</w:t>
      </w:r>
      <w:r w:rsidR="00F85DF4">
        <w:rPr>
          <w:rFonts w:ascii="Times New Roman" w:hAnsi="Times New Roman"/>
          <w:sz w:val="22"/>
          <w:szCs w:val="22"/>
          <w:lang w:val="en-GB"/>
        </w:rPr>
        <w:t>5 and 19</w:t>
      </w:r>
      <w:r w:rsidR="00532464">
        <w:rPr>
          <w:rFonts w:ascii="Times New Roman" w:hAnsi="Times New Roman"/>
          <w:sz w:val="22"/>
          <w:szCs w:val="22"/>
          <w:lang w:val="en-GB"/>
        </w:rPr>
        <w:t>8</w:t>
      </w:r>
      <w:r w:rsidR="00F85DF4">
        <w:rPr>
          <w:rFonts w:ascii="Times New Roman" w:hAnsi="Times New Roman"/>
          <w:sz w:val="22"/>
          <w:szCs w:val="22"/>
          <w:lang w:val="en-GB"/>
        </w:rPr>
        <w:t>1</w:t>
      </w:r>
      <w:r w:rsidRPr="008D3C1A">
        <w:rPr>
          <w:rFonts w:ascii="Times New Roman" w:hAnsi="Times New Roman"/>
          <w:sz w:val="22"/>
          <w:szCs w:val="22"/>
          <w:lang w:val="en-GB"/>
        </w:rPr>
        <w:t xml:space="preserve">. There was euphoria </w:t>
      </w:r>
      <w:r w:rsidR="005537D1" w:rsidRPr="008D3C1A">
        <w:rPr>
          <w:rFonts w:ascii="Times New Roman" w:hAnsi="Times New Roman"/>
          <w:sz w:val="22"/>
          <w:szCs w:val="22"/>
          <w:lang w:val="en-GB"/>
        </w:rPr>
        <w:t xml:space="preserve">among </w:t>
      </w:r>
      <w:r w:rsidRPr="008D3C1A">
        <w:rPr>
          <w:rFonts w:ascii="Times New Roman" w:hAnsi="Times New Roman"/>
          <w:sz w:val="22"/>
          <w:szCs w:val="22"/>
          <w:lang w:val="en-GB"/>
        </w:rPr>
        <w:t>the government</w:t>
      </w:r>
      <w:r w:rsidR="001546E0" w:rsidRPr="008D3C1A">
        <w:rPr>
          <w:rFonts w:ascii="Times New Roman" w:hAnsi="Times New Roman"/>
          <w:sz w:val="22"/>
          <w:szCs w:val="22"/>
          <w:lang w:val="en-GB"/>
        </w:rPr>
        <w:t>, IFIs</w:t>
      </w:r>
      <w:r w:rsidRPr="008D3C1A">
        <w:rPr>
          <w:rFonts w:ascii="Times New Roman" w:hAnsi="Times New Roman"/>
          <w:sz w:val="22"/>
          <w:szCs w:val="22"/>
          <w:lang w:val="en-GB"/>
        </w:rPr>
        <w:t xml:space="preserve"> and large business firms</w:t>
      </w:r>
      <w:r w:rsidR="001546E0" w:rsidRPr="008D3C1A">
        <w:rPr>
          <w:rFonts w:ascii="Times New Roman" w:hAnsi="Times New Roman"/>
          <w:sz w:val="22"/>
          <w:szCs w:val="22"/>
          <w:lang w:val="en-GB"/>
        </w:rPr>
        <w:t xml:space="preserve">, </w:t>
      </w:r>
      <w:r w:rsidR="005537D1" w:rsidRPr="008D3C1A">
        <w:rPr>
          <w:rFonts w:ascii="Times New Roman" w:hAnsi="Times New Roman"/>
          <w:sz w:val="22"/>
          <w:szCs w:val="22"/>
          <w:lang w:val="en-GB"/>
        </w:rPr>
        <w:t>holding the</w:t>
      </w:r>
      <w:r w:rsidRPr="008D3C1A">
        <w:rPr>
          <w:rFonts w:ascii="Times New Roman" w:hAnsi="Times New Roman"/>
          <w:sz w:val="22"/>
          <w:szCs w:val="22"/>
          <w:lang w:val="en-GB"/>
        </w:rPr>
        <w:t xml:space="preserve"> view that Chile was experiencing “an economic miracle”.</w:t>
      </w:r>
      <w:r w:rsidRPr="008D3C1A">
        <w:rPr>
          <w:rStyle w:val="Refdenotaalpie"/>
          <w:rFonts w:ascii="Times New Roman" w:hAnsi="Times New Roman"/>
          <w:sz w:val="22"/>
          <w:szCs w:val="22"/>
          <w:lang w:val="en-GB"/>
        </w:rPr>
        <w:footnoteReference w:id="9"/>
      </w:r>
      <w:r w:rsidRPr="008D3C1A">
        <w:rPr>
          <w:rFonts w:ascii="Times New Roman" w:hAnsi="Times New Roman"/>
          <w:sz w:val="22"/>
          <w:szCs w:val="22"/>
          <w:lang w:val="en-GB"/>
        </w:rPr>
        <w:t xml:space="preserve"> However, vulnerability to </w:t>
      </w:r>
      <w:r w:rsidR="005537D1" w:rsidRPr="008D3C1A">
        <w:rPr>
          <w:rFonts w:ascii="Times New Roman" w:hAnsi="Times New Roman"/>
          <w:sz w:val="22"/>
          <w:szCs w:val="22"/>
          <w:lang w:val="en-GB"/>
        </w:rPr>
        <w:t>the changing moods of</w:t>
      </w:r>
      <w:r w:rsidRPr="008D3C1A">
        <w:rPr>
          <w:rFonts w:ascii="Times New Roman" w:hAnsi="Times New Roman"/>
          <w:sz w:val="22"/>
          <w:szCs w:val="22"/>
          <w:lang w:val="en-GB"/>
        </w:rPr>
        <w:t xml:space="preserve"> financial markets had been created. </w:t>
      </w:r>
      <w:r w:rsidR="00484C63" w:rsidRPr="008D3C1A">
        <w:rPr>
          <w:rFonts w:ascii="Times New Roman" w:hAnsi="Times New Roman"/>
          <w:sz w:val="22"/>
          <w:szCs w:val="22"/>
          <w:lang w:val="en-GB"/>
        </w:rPr>
        <w:t>F</w:t>
      </w:r>
      <w:r w:rsidRPr="008D3C1A">
        <w:rPr>
          <w:rFonts w:ascii="Times New Roman" w:hAnsi="Times New Roman"/>
          <w:sz w:val="22"/>
          <w:szCs w:val="22"/>
          <w:lang w:val="en-GB"/>
        </w:rPr>
        <w:t xml:space="preserve">oreign borrowing had given rise to a domestic lending boom in an atmosphere of lax prudential regulation and supervision. Related-party auto lending rose rapidly, often with fictitious guarantees. The banks renewed loans (often on a </w:t>
      </w:r>
      <w:r w:rsidR="0081030F" w:rsidRPr="008D3C1A">
        <w:rPr>
          <w:rFonts w:ascii="Times New Roman" w:hAnsi="Times New Roman"/>
          <w:sz w:val="22"/>
          <w:szCs w:val="22"/>
          <w:lang w:val="en-GB"/>
        </w:rPr>
        <w:t>30</w:t>
      </w:r>
      <w:r w:rsidRPr="008D3C1A">
        <w:rPr>
          <w:rFonts w:ascii="Times New Roman" w:hAnsi="Times New Roman"/>
          <w:sz w:val="22"/>
          <w:szCs w:val="22"/>
          <w:lang w:val="en-GB"/>
        </w:rPr>
        <w:t xml:space="preserve">-day term) and financed interest payments with new loans. Non-performing loans appeared low and the banks’ profits high. Many loans were backed by stock and real estate, </w:t>
      </w:r>
      <w:r w:rsidR="0081030F" w:rsidRPr="008D3C1A">
        <w:rPr>
          <w:rFonts w:ascii="Times New Roman" w:hAnsi="Times New Roman"/>
          <w:sz w:val="22"/>
          <w:szCs w:val="22"/>
          <w:lang w:val="en-GB"/>
        </w:rPr>
        <w:t xml:space="preserve">although </w:t>
      </w:r>
      <w:r w:rsidRPr="008D3C1A">
        <w:rPr>
          <w:rFonts w:ascii="Times New Roman" w:hAnsi="Times New Roman"/>
          <w:sz w:val="22"/>
          <w:szCs w:val="22"/>
          <w:lang w:val="en-GB"/>
        </w:rPr>
        <w:t xml:space="preserve">the prices of such collateral were inflated </w:t>
      </w:r>
      <w:r w:rsidR="0081030F" w:rsidRPr="008D3C1A">
        <w:rPr>
          <w:rFonts w:ascii="Times New Roman" w:hAnsi="Times New Roman"/>
          <w:sz w:val="22"/>
          <w:szCs w:val="22"/>
          <w:lang w:val="en-GB"/>
        </w:rPr>
        <w:t>owing to</w:t>
      </w:r>
      <w:r w:rsidRPr="008D3C1A">
        <w:rPr>
          <w:rFonts w:ascii="Times New Roman" w:hAnsi="Times New Roman"/>
          <w:sz w:val="22"/>
          <w:szCs w:val="22"/>
          <w:lang w:val="en-GB"/>
        </w:rPr>
        <w:t xml:space="preserve"> the financial boom</w:t>
      </w:r>
      <w:r w:rsidR="0081030F" w:rsidRPr="008D3C1A">
        <w:rPr>
          <w:rFonts w:ascii="Times New Roman" w:hAnsi="Times New Roman"/>
          <w:sz w:val="22"/>
          <w:szCs w:val="22"/>
          <w:lang w:val="en-GB"/>
        </w:rPr>
        <w:t>, as well as</w:t>
      </w:r>
      <w:r w:rsidRPr="008D3C1A">
        <w:rPr>
          <w:rFonts w:ascii="Times New Roman" w:hAnsi="Times New Roman"/>
          <w:sz w:val="22"/>
          <w:szCs w:val="22"/>
          <w:lang w:val="en-GB"/>
        </w:rPr>
        <w:t xml:space="preserve"> the mistaken belief that the Chilean economy would continue to grow at around 8</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a year (the actual trend of potential GDP was closer to 3</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w:t>
      </w:r>
    </w:p>
    <w:p w:rsidR="00375161" w:rsidRPr="008D3C1A" w:rsidRDefault="00375161" w:rsidP="00AC15A7">
      <w:pPr>
        <w:pStyle w:val="Sangra2detindependiente"/>
        <w:spacing w:line="360" w:lineRule="auto"/>
        <w:ind w:left="0" w:firstLine="708"/>
        <w:rPr>
          <w:rFonts w:ascii="Times New Roman" w:hAnsi="Times New Roman"/>
          <w:sz w:val="22"/>
          <w:szCs w:val="22"/>
          <w:lang w:val="en-GB"/>
        </w:rPr>
      </w:pPr>
      <w:r w:rsidRPr="008D3C1A">
        <w:rPr>
          <w:rFonts w:ascii="Times New Roman" w:hAnsi="Times New Roman"/>
          <w:sz w:val="22"/>
          <w:szCs w:val="22"/>
          <w:lang w:val="en-GB"/>
        </w:rPr>
        <w:t xml:space="preserve">Underlying these disequilibria, there was a severely mistaken diagnosis, led by the belief in market spontaneous self-regulating adjustments. </w:t>
      </w:r>
      <w:r w:rsidR="00A47C80" w:rsidRPr="008D3C1A">
        <w:rPr>
          <w:rFonts w:ascii="Times New Roman" w:hAnsi="Times New Roman"/>
          <w:sz w:val="22"/>
          <w:szCs w:val="22"/>
          <w:lang w:val="en-GB"/>
        </w:rPr>
        <w:t>S</w:t>
      </w:r>
      <w:r w:rsidRPr="008D3C1A">
        <w:rPr>
          <w:rFonts w:ascii="Times New Roman" w:hAnsi="Times New Roman"/>
          <w:sz w:val="22"/>
          <w:szCs w:val="22"/>
          <w:lang w:val="en-GB"/>
        </w:rPr>
        <w:t xml:space="preserve">ince it had achieved a fiscal surplus and external borrowing was being decided by private </w:t>
      </w:r>
      <w:r w:rsidR="00735D41" w:rsidRPr="008D3C1A">
        <w:rPr>
          <w:rFonts w:ascii="Times New Roman" w:hAnsi="Times New Roman"/>
          <w:sz w:val="22"/>
          <w:szCs w:val="22"/>
          <w:lang w:val="en-GB"/>
        </w:rPr>
        <w:t>debtors</w:t>
      </w:r>
      <w:r w:rsidRPr="008D3C1A">
        <w:rPr>
          <w:rFonts w:ascii="Times New Roman" w:hAnsi="Times New Roman"/>
          <w:sz w:val="22"/>
          <w:szCs w:val="22"/>
          <w:lang w:val="en-GB"/>
        </w:rPr>
        <w:t xml:space="preserve"> and lenders, </w:t>
      </w:r>
      <w:r w:rsidR="00A47C80" w:rsidRPr="008D3C1A">
        <w:rPr>
          <w:rFonts w:ascii="Times New Roman" w:hAnsi="Times New Roman"/>
          <w:sz w:val="22"/>
          <w:szCs w:val="22"/>
          <w:lang w:val="en-GB"/>
        </w:rPr>
        <w:t xml:space="preserve">the government assumed that </w:t>
      </w:r>
      <w:r w:rsidRPr="008D3C1A">
        <w:rPr>
          <w:rFonts w:ascii="Times New Roman" w:hAnsi="Times New Roman"/>
          <w:sz w:val="22"/>
          <w:szCs w:val="22"/>
          <w:lang w:val="en-GB"/>
        </w:rPr>
        <w:t xml:space="preserve">a foreign exchange crisis would never occur. </w:t>
      </w:r>
      <w:r w:rsidR="00A47C80" w:rsidRPr="008D3C1A">
        <w:rPr>
          <w:rFonts w:ascii="Times New Roman" w:hAnsi="Times New Roman"/>
          <w:sz w:val="22"/>
          <w:szCs w:val="22"/>
          <w:lang w:val="en-GB"/>
        </w:rPr>
        <w:t>Indeed, the government was reassured in this false assumption by the</w:t>
      </w:r>
      <w:r w:rsidRPr="008D3C1A">
        <w:rPr>
          <w:rFonts w:ascii="Times New Roman" w:hAnsi="Times New Roman"/>
          <w:sz w:val="22"/>
          <w:szCs w:val="22"/>
          <w:lang w:val="en-GB"/>
        </w:rPr>
        <w:t xml:space="preserve"> explicit and strong support of the International Monetary Fund (Robishek, 1981)</w:t>
      </w:r>
      <w:r w:rsidR="00735D41" w:rsidRPr="008D3C1A">
        <w:rPr>
          <w:rFonts w:ascii="Times New Roman" w:hAnsi="Times New Roman"/>
          <w:sz w:val="22"/>
          <w:szCs w:val="22"/>
          <w:lang w:val="en-GB"/>
        </w:rPr>
        <w:t>, ignoring</w:t>
      </w:r>
      <w:r w:rsidRPr="008D3C1A">
        <w:rPr>
          <w:rFonts w:ascii="Times New Roman" w:hAnsi="Times New Roman"/>
          <w:sz w:val="22"/>
          <w:szCs w:val="22"/>
          <w:lang w:val="en-GB"/>
        </w:rPr>
        <w:t xml:space="preserve"> that an unsustainable deficit could be generated in the private sector (Marfán, 2005).</w:t>
      </w:r>
    </w:p>
    <w:p w:rsidR="00375161" w:rsidRPr="008D3C1A" w:rsidRDefault="00375161"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 xml:space="preserve">By 1981, bank debt per capita </w:t>
      </w:r>
      <w:r w:rsidR="00A47C80" w:rsidRPr="008D3C1A">
        <w:rPr>
          <w:rFonts w:ascii="Times New Roman" w:hAnsi="Times New Roman"/>
          <w:sz w:val="22"/>
          <w:szCs w:val="22"/>
          <w:lang w:val="en-GB"/>
        </w:rPr>
        <w:t xml:space="preserve">almost </w:t>
      </w:r>
      <w:r w:rsidRPr="008D3C1A">
        <w:rPr>
          <w:rFonts w:ascii="Times New Roman" w:hAnsi="Times New Roman"/>
          <w:sz w:val="22"/>
          <w:szCs w:val="22"/>
          <w:lang w:val="en-GB"/>
        </w:rPr>
        <w:t xml:space="preserve">doubled the Latin America average. The current account </w:t>
      </w:r>
      <w:r w:rsidR="00A47C80" w:rsidRPr="008D3C1A">
        <w:rPr>
          <w:rFonts w:ascii="Times New Roman" w:hAnsi="Times New Roman"/>
          <w:sz w:val="22"/>
          <w:szCs w:val="22"/>
          <w:lang w:val="en-GB"/>
        </w:rPr>
        <w:t xml:space="preserve">deficit </w:t>
      </w:r>
      <w:r w:rsidRPr="008D3C1A">
        <w:rPr>
          <w:rFonts w:ascii="Times New Roman" w:hAnsi="Times New Roman"/>
          <w:sz w:val="22"/>
          <w:szCs w:val="22"/>
          <w:lang w:val="en-GB"/>
        </w:rPr>
        <w:t xml:space="preserve">had </w:t>
      </w:r>
      <w:r w:rsidR="00A47C80" w:rsidRPr="008D3C1A">
        <w:rPr>
          <w:rFonts w:ascii="Times New Roman" w:hAnsi="Times New Roman"/>
          <w:sz w:val="22"/>
          <w:szCs w:val="22"/>
          <w:lang w:val="en-GB"/>
        </w:rPr>
        <w:t xml:space="preserve">risen </w:t>
      </w:r>
      <w:r w:rsidRPr="008D3C1A">
        <w:rPr>
          <w:rFonts w:ascii="Times New Roman" w:hAnsi="Times New Roman"/>
          <w:sz w:val="22"/>
          <w:szCs w:val="22"/>
          <w:lang w:val="en-GB"/>
        </w:rPr>
        <w:t>to 21</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of GDP, with domestic savings having collapsed. Chile required growing net financial inflows quarter after quarter, </w:t>
      </w:r>
      <w:r w:rsidR="00A47C80" w:rsidRPr="008D3C1A">
        <w:rPr>
          <w:rFonts w:ascii="Times New Roman" w:hAnsi="Times New Roman"/>
          <w:sz w:val="22"/>
          <w:szCs w:val="22"/>
          <w:lang w:val="en-GB"/>
        </w:rPr>
        <w:t xml:space="preserve">which </w:t>
      </w:r>
      <w:r w:rsidRPr="008D3C1A">
        <w:rPr>
          <w:rFonts w:ascii="Times New Roman" w:hAnsi="Times New Roman"/>
          <w:sz w:val="22"/>
          <w:szCs w:val="22"/>
          <w:lang w:val="en-GB"/>
        </w:rPr>
        <w:t xml:space="preserve">becomes increasingly </w:t>
      </w:r>
      <w:r w:rsidR="00A47C80" w:rsidRPr="008D3C1A">
        <w:rPr>
          <w:rFonts w:ascii="Times New Roman" w:hAnsi="Times New Roman"/>
          <w:sz w:val="22"/>
          <w:szCs w:val="22"/>
          <w:lang w:val="en-GB"/>
        </w:rPr>
        <w:t xml:space="preserve">difficult </w:t>
      </w:r>
      <w:r w:rsidRPr="008D3C1A">
        <w:rPr>
          <w:rFonts w:ascii="Times New Roman" w:hAnsi="Times New Roman"/>
          <w:sz w:val="22"/>
          <w:szCs w:val="22"/>
          <w:lang w:val="en-GB"/>
        </w:rPr>
        <w:t xml:space="preserve">when the debt stock has been rising so much faster than wealth and income. It is evident that the probability of </w:t>
      </w:r>
      <w:r w:rsidR="00772761" w:rsidRPr="008D3C1A">
        <w:rPr>
          <w:rFonts w:ascii="Times New Roman" w:hAnsi="Times New Roman"/>
          <w:sz w:val="22"/>
          <w:szCs w:val="22"/>
          <w:lang w:val="en-GB"/>
        </w:rPr>
        <w:t xml:space="preserve">flows </w:t>
      </w:r>
      <w:r w:rsidRPr="008D3C1A">
        <w:rPr>
          <w:rFonts w:ascii="Times New Roman" w:hAnsi="Times New Roman"/>
          <w:sz w:val="22"/>
          <w:szCs w:val="22"/>
          <w:lang w:val="en-GB"/>
        </w:rPr>
        <w:t xml:space="preserve">reversal </w:t>
      </w:r>
      <w:r w:rsidR="00A47C80" w:rsidRPr="008D3C1A">
        <w:rPr>
          <w:rFonts w:ascii="Times New Roman" w:hAnsi="Times New Roman"/>
          <w:sz w:val="22"/>
          <w:szCs w:val="22"/>
          <w:lang w:val="en-GB"/>
        </w:rPr>
        <w:t xml:space="preserve">sharply </w:t>
      </w:r>
      <w:r w:rsidR="00F85DF4">
        <w:rPr>
          <w:rFonts w:ascii="Times New Roman" w:hAnsi="Times New Roman"/>
          <w:sz w:val="22"/>
          <w:szCs w:val="22"/>
          <w:lang w:val="en-GB"/>
        </w:rPr>
        <w:t>r</w:t>
      </w:r>
      <w:r w:rsidRPr="008D3C1A">
        <w:rPr>
          <w:rFonts w:ascii="Times New Roman" w:hAnsi="Times New Roman"/>
          <w:sz w:val="22"/>
          <w:szCs w:val="22"/>
          <w:lang w:val="en-GB"/>
        </w:rPr>
        <w:t xml:space="preserve">ises with </w:t>
      </w:r>
      <w:r w:rsidR="00A47C80" w:rsidRPr="008D3C1A">
        <w:rPr>
          <w:rFonts w:ascii="Times New Roman" w:hAnsi="Times New Roman"/>
          <w:sz w:val="22"/>
          <w:szCs w:val="22"/>
          <w:lang w:val="en-GB"/>
        </w:rPr>
        <w:t xml:space="preserve">an </w:t>
      </w:r>
      <w:r w:rsidRPr="008D3C1A">
        <w:rPr>
          <w:rFonts w:ascii="Times New Roman" w:hAnsi="Times New Roman"/>
          <w:sz w:val="22"/>
          <w:szCs w:val="22"/>
          <w:lang w:val="en-GB"/>
        </w:rPr>
        <w:t>increase in the debt stock, size of amorti</w:t>
      </w:r>
      <w:r w:rsidR="00EA5066" w:rsidRPr="008D3C1A">
        <w:rPr>
          <w:rFonts w:ascii="Times New Roman" w:hAnsi="Times New Roman"/>
          <w:sz w:val="22"/>
          <w:szCs w:val="22"/>
          <w:lang w:val="en-GB"/>
        </w:rPr>
        <w:t>s</w:t>
      </w:r>
      <w:r w:rsidRPr="008D3C1A">
        <w:rPr>
          <w:rFonts w:ascii="Times New Roman" w:hAnsi="Times New Roman"/>
          <w:sz w:val="22"/>
          <w:szCs w:val="22"/>
          <w:lang w:val="en-GB"/>
        </w:rPr>
        <w:t xml:space="preserve">ations and deficit on current account, </w:t>
      </w:r>
      <w:r w:rsidR="00A47C80" w:rsidRPr="008D3C1A">
        <w:rPr>
          <w:rFonts w:ascii="Times New Roman" w:hAnsi="Times New Roman"/>
          <w:sz w:val="22"/>
          <w:szCs w:val="22"/>
          <w:lang w:val="en-GB"/>
        </w:rPr>
        <w:t xml:space="preserve">as well as the </w:t>
      </w:r>
      <w:r w:rsidRPr="008D3C1A">
        <w:rPr>
          <w:rFonts w:ascii="Times New Roman" w:hAnsi="Times New Roman"/>
          <w:sz w:val="22"/>
          <w:szCs w:val="22"/>
          <w:lang w:val="en-GB"/>
        </w:rPr>
        <w:t xml:space="preserve">consequent need </w:t>
      </w:r>
      <w:r w:rsidR="00A47C80" w:rsidRPr="008D3C1A">
        <w:rPr>
          <w:rFonts w:ascii="Times New Roman" w:hAnsi="Times New Roman"/>
          <w:sz w:val="22"/>
          <w:szCs w:val="22"/>
          <w:lang w:val="en-GB"/>
        </w:rPr>
        <w:t xml:space="preserve">for </w:t>
      </w:r>
      <w:r w:rsidRPr="008D3C1A">
        <w:rPr>
          <w:rFonts w:ascii="Times New Roman" w:hAnsi="Times New Roman"/>
          <w:sz w:val="22"/>
          <w:szCs w:val="22"/>
          <w:lang w:val="en-GB"/>
        </w:rPr>
        <w:t>exchange rate devaluation.</w:t>
      </w:r>
    </w:p>
    <w:p w:rsidR="00375161" w:rsidRPr="008D3C1A" w:rsidRDefault="00375161"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 xml:space="preserve">The macro-adjustment </w:t>
      </w:r>
      <w:r w:rsidR="00F85DF4">
        <w:rPr>
          <w:rFonts w:ascii="Times New Roman" w:hAnsi="Times New Roman"/>
          <w:sz w:val="22"/>
          <w:szCs w:val="22"/>
          <w:lang w:val="en-GB"/>
        </w:rPr>
        <w:t xml:space="preserve">started to </w:t>
      </w:r>
      <w:r w:rsidRPr="008D3C1A">
        <w:rPr>
          <w:rFonts w:ascii="Times New Roman" w:hAnsi="Times New Roman"/>
          <w:sz w:val="22"/>
          <w:szCs w:val="22"/>
          <w:lang w:val="en-GB"/>
        </w:rPr>
        <w:t>t</w:t>
      </w:r>
      <w:r w:rsidR="00F85DF4">
        <w:rPr>
          <w:rFonts w:ascii="Times New Roman" w:hAnsi="Times New Roman"/>
          <w:sz w:val="22"/>
          <w:szCs w:val="22"/>
          <w:lang w:val="en-GB"/>
        </w:rPr>
        <w:t>a</w:t>
      </w:r>
      <w:r w:rsidRPr="008D3C1A">
        <w:rPr>
          <w:rFonts w:ascii="Times New Roman" w:hAnsi="Times New Roman"/>
          <w:sz w:val="22"/>
          <w:szCs w:val="22"/>
          <w:lang w:val="en-GB"/>
        </w:rPr>
        <w:t>k</w:t>
      </w:r>
      <w:r w:rsidR="00F85DF4">
        <w:rPr>
          <w:rFonts w:ascii="Times New Roman" w:hAnsi="Times New Roman"/>
          <w:sz w:val="22"/>
          <w:szCs w:val="22"/>
          <w:lang w:val="en-GB"/>
        </w:rPr>
        <w:t>e</w:t>
      </w:r>
      <w:r w:rsidRPr="008D3C1A">
        <w:rPr>
          <w:rFonts w:ascii="Times New Roman" w:hAnsi="Times New Roman"/>
          <w:sz w:val="22"/>
          <w:szCs w:val="22"/>
          <w:lang w:val="en-GB"/>
        </w:rPr>
        <w:t xml:space="preserve"> place in </w:t>
      </w:r>
      <w:r w:rsidR="00F85DF4">
        <w:rPr>
          <w:rFonts w:ascii="Times New Roman" w:hAnsi="Times New Roman"/>
          <w:sz w:val="22"/>
          <w:szCs w:val="22"/>
          <w:lang w:val="en-GB"/>
        </w:rPr>
        <w:t xml:space="preserve">the first semester of </w:t>
      </w:r>
      <w:r w:rsidRPr="008D3C1A">
        <w:rPr>
          <w:rFonts w:ascii="Times New Roman" w:hAnsi="Times New Roman"/>
          <w:sz w:val="22"/>
          <w:szCs w:val="22"/>
          <w:lang w:val="en-GB"/>
        </w:rPr>
        <w:t xml:space="preserve">1982, well before the explosion in Mexico of the Latin American debt crisis in August of that year. It is highly relevant that inflows </w:t>
      </w:r>
      <w:r w:rsidR="00A47C80" w:rsidRPr="008D3C1A">
        <w:rPr>
          <w:rFonts w:ascii="Times New Roman" w:hAnsi="Times New Roman"/>
          <w:sz w:val="22"/>
          <w:szCs w:val="22"/>
          <w:lang w:val="en-GB"/>
        </w:rPr>
        <w:t>remained quite</w:t>
      </w:r>
      <w:r w:rsidRPr="008D3C1A">
        <w:rPr>
          <w:rFonts w:ascii="Times New Roman" w:hAnsi="Times New Roman"/>
          <w:sz w:val="22"/>
          <w:szCs w:val="22"/>
          <w:lang w:val="en-GB"/>
        </w:rPr>
        <w:t xml:space="preserve"> large </w:t>
      </w:r>
      <w:r w:rsidR="007678A6" w:rsidRPr="008D3C1A">
        <w:rPr>
          <w:rFonts w:ascii="Times New Roman" w:hAnsi="Times New Roman"/>
          <w:sz w:val="22"/>
          <w:szCs w:val="22"/>
          <w:lang w:val="en-GB"/>
        </w:rPr>
        <w:t xml:space="preserve">during 1982 </w:t>
      </w:r>
      <w:r w:rsidRPr="008D3C1A">
        <w:rPr>
          <w:rFonts w:ascii="Times New Roman" w:hAnsi="Times New Roman"/>
          <w:sz w:val="22"/>
          <w:szCs w:val="22"/>
          <w:lang w:val="en-GB"/>
        </w:rPr>
        <w:t>(about 10</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of GDP), but much </w:t>
      </w:r>
      <w:r w:rsidRPr="008D3C1A">
        <w:rPr>
          <w:rFonts w:ascii="Times New Roman" w:hAnsi="Times New Roman"/>
          <w:sz w:val="22"/>
          <w:szCs w:val="22"/>
          <w:lang w:val="en-GB"/>
        </w:rPr>
        <w:lastRenderedPageBreak/>
        <w:t xml:space="preserve">less than the net inflows in 1981, to which the economy </w:t>
      </w:r>
      <w:r w:rsidR="00A47C80" w:rsidRPr="008D3C1A">
        <w:rPr>
          <w:rFonts w:ascii="Times New Roman" w:hAnsi="Times New Roman"/>
          <w:sz w:val="22"/>
          <w:szCs w:val="22"/>
          <w:lang w:val="en-GB"/>
        </w:rPr>
        <w:t>had become used</w:t>
      </w:r>
      <w:r w:rsidRPr="008D3C1A">
        <w:rPr>
          <w:rFonts w:ascii="Times New Roman" w:hAnsi="Times New Roman"/>
          <w:sz w:val="22"/>
          <w:szCs w:val="22"/>
          <w:lang w:val="en-GB"/>
        </w:rPr>
        <w:t>. Actually, the economic authority felt obliged to devalue by June. The economy intensified the deep recession already at work, with a 14</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GDP drop in 1982, open unemployment was affecting one </w:t>
      </w:r>
      <w:r w:rsidR="00A47C80" w:rsidRPr="008D3C1A">
        <w:rPr>
          <w:rFonts w:ascii="Times New Roman" w:hAnsi="Times New Roman"/>
          <w:sz w:val="22"/>
          <w:szCs w:val="22"/>
          <w:lang w:val="en-GB"/>
        </w:rPr>
        <w:t>in</w:t>
      </w:r>
      <w:r w:rsidRPr="008D3C1A">
        <w:rPr>
          <w:rFonts w:ascii="Times New Roman" w:hAnsi="Times New Roman"/>
          <w:sz w:val="22"/>
          <w:szCs w:val="22"/>
          <w:lang w:val="en-GB"/>
        </w:rPr>
        <w:t xml:space="preserve"> every three workers in 1983, there were countless bankruptcies including most part of the private banks and a huge increase in poverty and income </w:t>
      </w:r>
      <w:r w:rsidR="002F27BE" w:rsidRPr="008D3C1A">
        <w:rPr>
          <w:rFonts w:ascii="Times New Roman" w:hAnsi="Times New Roman"/>
          <w:sz w:val="22"/>
          <w:szCs w:val="22"/>
          <w:lang w:val="en-GB"/>
        </w:rPr>
        <w:t>inequality</w:t>
      </w:r>
      <w:r w:rsidR="00A47C80" w:rsidRPr="008D3C1A">
        <w:rPr>
          <w:rFonts w:ascii="Times New Roman" w:hAnsi="Times New Roman"/>
          <w:sz w:val="22"/>
          <w:szCs w:val="22"/>
          <w:lang w:val="en-GB"/>
        </w:rPr>
        <w:t>was evident</w:t>
      </w:r>
      <w:r w:rsidRPr="008D3C1A">
        <w:rPr>
          <w:rFonts w:ascii="Times New Roman" w:hAnsi="Times New Roman"/>
          <w:sz w:val="22"/>
          <w:szCs w:val="22"/>
          <w:lang w:val="en-GB"/>
        </w:rPr>
        <w:t>. In 1982, the Chilean economy</w:t>
      </w:r>
      <w:r w:rsidR="00FF0AA7" w:rsidRPr="008D3C1A">
        <w:rPr>
          <w:rFonts w:ascii="Times New Roman" w:hAnsi="Times New Roman"/>
          <w:sz w:val="22"/>
          <w:szCs w:val="22"/>
          <w:lang w:val="en-GB"/>
        </w:rPr>
        <w:t>–</w:t>
      </w:r>
      <w:r w:rsidRPr="008D3C1A">
        <w:rPr>
          <w:rFonts w:ascii="Times New Roman" w:hAnsi="Times New Roman"/>
          <w:sz w:val="22"/>
          <w:szCs w:val="22"/>
          <w:lang w:val="en-GB"/>
        </w:rPr>
        <w:t>already with null inflation, fiscal surplus, intensive privati</w:t>
      </w:r>
      <w:r w:rsidR="00EA5066" w:rsidRPr="008D3C1A">
        <w:rPr>
          <w:rFonts w:ascii="Times New Roman" w:hAnsi="Times New Roman"/>
          <w:sz w:val="22"/>
          <w:szCs w:val="22"/>
          <w:lang w:val="en-GB"/>
        </w:rPr>
        <w:t>s</w:t>
      </w:r>
      <w:r w:rsidRPr="008D3C1A">
        <w:rPr>
          <w:rFonts w:ascii="Times New Roman" w:hAnsi="Times New Roman"/>
          <w:sz w:val="22"/>
          <w:szCs w:val="22"/>
          <w:lang w:val="en-GB"/>
        </w:rPr>
        <w:t>ations and free imports</w:t>
      </w:r>
      <w:r w:rsidR="00FF0AA7" w:rsidRPr="008D3C1A">
        <w:rPr>
          <w:rFonts w:ascii="Times New Roman" w:hAnsi="Times New Roman"/>
          <w:sz w:val="22"/>
          <w:szCs w:val="22"/>
          <w:lang w:val="en-GB"/>
        </w:rPr>
        <w:t>–</w:t>
      </w:r>
      <w:r w:rsidRPr="008D3C1A">
        <w:rPr>
          <w:rFonts w:ascii="Times New Roman" w:hAnsi="Times New Roman"/>
          <w:sz w:val="22"/>
          <w:szCs w:val="22"/>
          <w:lang w:val="en-GB"/>
        </w:rPr>
        <w:t>experienced the deepest and more regressive adjustment in all</w:t>
      </w:r>
      <w:r w:rsidR="00A47C80" w:rsidRPr="008D3C1A">
        <w:rPr>
          <w:rFonts w:ascii="Times New Roman" w:hAnsi="Times New Roman"/>
          <w:sz w:val="22"/>
          <w:szCs w:val="22"/>
          <w:lang w:val="en-GB"/>
        </w:rPr>
        <w:t xml:space="preserve"> of</w:t>
      </w:r>
      <w:r w:rsidRPr="008D3C1A">
        <w:rPr>
          <w:rFonts w:ascii="Times New Roman" w:hAnsi="Times New Roman"/>
          <w:sz w:val="22"/>
          <w:szCs w:val="22"/>
          <w:lang w:val="en-GB"/>
        </w:rPr>
        <w:t xml:space="preserve"> Latin America. </w:t>
      </w:r>
    </w:p>
    <w:p w:rsidR="00375161" w:rsidRPr="008D3C1A" w:rsidRDefault="00375161" w:rsidP="004E552D">
      <w:pPr>
        <w:spacing w:after="120" w:line="360" w:lineRule="auto"/>
        <w:ind w:firstLine="708"/>
        <w:jc w:val="both"/>
        <w:rPr>
          <w:sz w:val="22"/>
          <w:szCs w:val="22"/>
          <w:lang w:val="en-GB"/>
        </w:rPr>
      </w:pPr>
      <w:r w:rsidRPr="008D3C1A">
        <w:rPr>
          <w:sz w:val="22"/>
          <w:szCs w:val="22"/>
          <w:lang w:val="en-GB"/>
        </w:rPr>
        <w:t>The combined changes to the production structure, the repression of labo</w:t>
      </w:r>
      <w:r w:rsidR="00A47C80" w:rsidRPr="008D3C1A">
        <w:rPr>
          <w:sz w:val="22"/>
          <w:szCs w:val="22"/>
          <w:lang w:val="en-GB"/>
        </w:rPr>
        <w:t>u</w:t>
      </w:r>
      <w:r w:rsidRPr="008D3C1A">
        <w:rPr>
          <w:sz w:val="22"/>
          <w:szCs w:val="22"/>
          <w:lang w:val="en-GB"/>
        </w:rPr>
        <w:t xml:space="preserve">r rights and the financial reforms, </w:t>
      </w:r>
      <w:r w:rsidR="00A47C80" w:rsidRPr="008D3C1A">
        <w:rPr>
          <w:sz w:val="22"/>
          <w:szCs w:val="22"/>
          <w:lang w:val="en-GB"/>
        </w:rPr>
        <w:t xml:space="preserve">combined with </w:t>
      </w:r>
      <w:r w:rsidRPr="008D3C1A">
        <w:rPr>
          <w:sz w:val="22"/>
          <w:szCs w:val="22"/>
          <w:lang w:val="en-GB"/>
        </w:rPr>
        <w:t>real macroeconomic instability, caused severe distributive setbacks. The ratio between the household per capita income of the richest and poorest quintiles increased from 13 in the 1960s to 16 in 1976</w:t>
      </w:r>
      <w:r w:rsidR="00FF0AA7" w:rsidRPr="008D3C1A">
        <w:rPr>
          <w:sz w:val="22"/>
          <w:szCs w:val="22"/>
          <w:lang w:val="en-GB"/>
        </w:rPr>
        <w:t>–</w:t>
      </w:r>
      <w:r w:rsidRPr="008D3C1A">
        <w:rPr>
          <w:sz w:val="22"/>
          <w:szCs w:val="22"/>
          <w:lang w:val="en-GB"/>
        </w:rPr>
        <w:t>81, (</w:t>
      </w:r>
      <w:r w:rsidR="00E41CD6" w:rsidRPr="008D3C1A">
        <w:rPr>
          <w:sz w:val="22"/>
          <w:szCs w:val="22"/>
          <w:lang w:val="en-GB"/>
        </w:rPr>
        <w:t xml:space="preserve">and </w:t>
      </w:r>
      <w:r w:rsidR="00F85DF4">
        <w:rPr>
          <w:sz w:val="22"/>
          <w:szCs w:val="22"/>
          <w:lang w:val="en-GB"/>
        </w:rPr>
        <w:t xml:space="preserve">to </w:t>
      </w:r>
      <w:r w:rsidR="00E41CD6" w:rsidRPr="008D3C1A">
        <w:rPr>
          <w:sz w:val="22"/>
          <w:szCs w:val="22"/>
          <w:lang w:val="en-GB"/>
        </w:rPr>
        <w:t xml:space="preserve">20 during the </w:t>
      </w:r>
      <w:r w:rsidR="007678A6" w:rsidRPr="008D3C1A">
        <w:rPr>
          <w:sz w:val="22"/>
          <w:szCs w:val="22"/>
          <w:lang w:val="en-GB"/>
        </w:rPr>
        <w:t xml:space="preserve">1980s, Ffrench-Davis, </w:t>
      </w:r>
      <w:r w:rsidR="00E27AE6" w:rsidRPr="008D3C1A">
        <w:rPr>
          <w:sz w:val="22"/>
          <w:szCs w:val="22"/>
          <w:lang w:val="en-GB"/>
        </w:rPr>
        <w:t>2014</w:t>
      </w:r>
      <w:r w:rsidRPr="008D3C1A">
        <w:rPr>
          <w:sz w:val="22"/>
          <w:szCs w:val="22"/>
          <w:lang w:val="en-GB"/>
        </w:rPr>
        <w:t>)</w:t>
      </w:r>
      <w:r w:rsidR="00A47C80" w:rsidRPr="008D3C1A">
        <w:rPr>
          <w:sz w:val="22"/>
          <w:szCs w:val="22"/>
          <w:lang w:val="en-GB"/>
        </w:rPr>
        <w:t>,</w:t>
      </w:r>
      <w:r w:rsidRPr="008D3C1A">
        <w:rPr>
          <w:sz w:val="22"/>
          <w:szCs w:val="22"/>
          <w:lang w:val="en-GB"/>
        </w:rPr>
        <w:t xml:space="preserve"> while the Gini index increased by 4 percentage points</w:t>
      </w:r>
      <w:r w:rsidR="00F85DF4">
        <w:rPr>
          <w:sz w:val="22"/>
          <w:szCs w:val="22"/>
          <w:lang w:val="en-GB"/>
        </w:rPr>
        <w:t xml:space="preserve"> (and 5 more points in the 1980s)</w:t>
      </w:r>
      <w:r w:rsidRPr="008D3C1A">
        <w:rPr>
          <w:sz w:val="22"/>
          <w:szCs w:val="22"/>
          <w:lang w:val="en-GB"/>
        </w:rPr>
        <w:t xml:space="preserve">. </w:t>
      </w:r>
    </w:p>
    <w:p w:rsidR="00375161" w:rsidRPr="008D3C1A" w:rsidRDefault="00375161" w:rsidP="00AC15A7">
      <w:pPr>
        <w:spacing w:line="360" w:lineRule="auto"/>
        <w:ind w:firstLine="708"/>
        <w:jc w:val="both"/>
        <w:rPr>
          <w:sz w:val="22"/>
          <w:szCs w:val="22"/>
          <w:lang w:val="en-GB"/>
        </w:rPr>
      </w:pPr>
      <w:r w:rsidRPr="008D3C1A">
        <w:rPr>
          <w:sz w:val="22"/>
          <w:szCs w:val="22"/>
          <w:lang w:val="en-GB"/>
        </w:rPr>
        <w:t xml:space="preserve">In summary, </w:t>
      </w:r>
      <w:r w:rsidR="00A47C80" w:rsidRPr="008D3C1A">
        <w:rPr>
          <w:sz w:val="22"/>
          <w:szCs w:val="22"/>
          <w:lang w:val="en-GB"/>
        </w:rPr>
        <w:t>prior to</w:t>
      </w:r>
      <w:r w:rsidRPr="008D3C1A">
        <w:rPr>
          <w:sz w:val="22"/>
          <w:szCs w:val="22"/>
          <w:lang w:val="en-GB"/>
        </w:rPr>
        <w:t xml:space="preserve"> the debt explosion, the neo</w:t>
      </w:r>
      <w:r w:rsidR="00EA5066" w:rsidRPr="008D3C1A">
        <w:rPr>
          <w:sz w:val="22"/>
          <w:szCs w:val="22"/>
          <w:lang w:val="en-GB"/>
        </w:rPr>
        <w:t>-liberal</w:t>
      </w:r>
      <w:r w:rsidRPr="008D3C1A">
        <w:rPr>
          <w:sz w:val="22"/>
          <w:szCs w:val="22"/>
          <w:lang w:val="en-GB"/>
        </w:rPr>
        <w:t xml:space="preserve"> experiment had produced a society with increased inequality on many fronts</w:t>
      </w:r>
      <w:r w:rsidR="00A47C80" w:rsidRPr="008D3C1A">
        <w:rPr>
          <w:sz w:val="22"/>
          <w:szCs w:val="22"/>
          <w:lang w:val="en-GB"/>
        </w:rPr>
        <w:t xml:space="preserve"> in 1974–81</w:t>
      </w:r>
      <w:r w:rsidRPr="008D3C1A">
        <w:rPr>
          <w:sz w:val="22"/>
          <w:szCs w:val="22"/>
          <w:lang w:val="en-GB"/>
        </w:rPr>
        <w:t xml:space="preserve">, a predominance of </w:t>
      </w:r>
      <w:r w:rsidRPr="008D3C1A">
        <w:rPr>
          <w:i/>
          <w:sz w:val="22"/>
          <w:szCs w:val="22"/>
          <w:lang w:val="en-GB"/>
        </w:rPr>
        <w:t>financierism</w:t>
      </w:r>
      <w:r w:rsidRPr="008D3C1A">
        <w:rPr>
          <w:sz w:val="22"/>
          <w:szCs w:val="22"/>
          <w:lang w:val="en-GB"/>
        </w:rPr>
        <w:t xml:space="preserve"> over </w:t>
      </w:r>
      <w:r w:rsidRPr="008D3C1A">
        <w:rPr>
          <w:i/>
          <w:sz w:val="22"/>
          <w:szCs w:val="22"/>
          <w:lang w:val="en-GB"/>
        </w:rPr>
        <w:t>productivism</w:t>
      </w:r>
      <w:r w:rsidRPr="008D3C1A">
        <w:rPr>
          <w:sz w:val="22"/>
          <w:szCs w:val="22"/>
          <w:lang w:val="en-GB"/>
        </w:rPr>
        <w:t xml:space="preserve"> (</w:t>
      </w:r>
      <w:r w:rsidR="00A47C80" w:rsidRPr="008D3C1A">
        <w:rPr>
          <w:sz w:val="22"/>
          <w:szCs w:val="22"/>
          <w:lang w:val="en-GB"/>
        </w:rPr>
        <w:t>namely</w:t>
      </w:r>
      <w:r w:rsidRPr="008D3C1A">
        <w:rPr>
          <w:sz w:val="22"/>
          <w:szCs w:val="22"/>
          <w:lang w:val="en-GB"/>
        </w:rPr>
        <w:t xml:space="preserve"> at the expense of increases in productivity of labo</w:t>
      </w:r>
      <w:r w:rsidR="00A47C80" w:rsidRPr="008D3C1A">
        <w:rPr>
          <w:sz w:val="22"/>
          <w:szCs w:val="22"/>
          <w:lang w:val="en-GB"/>
        </w:rPr>
        <w:t>u</w:t>
      </w:r>
      <w:r w:rsidRPr="008D3C1A">
        <w:rPr>
          <w:sz w:val="22"/>
          <w:szCs w:val="22"/>
          <w:lang w:val="en-GB"/>
        </w:rPr>
        <w:t xml:space="preserve">r and capital, </w:t>
      </w:r>
      <w:r w:rsidR="00A47C80" w:rsidRPr="008D3C1A">
        <w:rPr>
          <w:sz w:val="22"/>
          <w:szCs w:val="22"/>
          <w:lang w:val="en-GB"/>
        </w:rPr>
        <w:t xml:space="preserve">as well as </w:t>
      </w:r>
      <w:r w:rsidRPr="008D3C1A">
        <w:rPr>
          <w:sz w:val="22"/>
          <w:szCs w:val="22"/>
          <w:lang w:val="en-GB"/>
        </w:rPr>
        <w:t>productive entrepreneurship), a highly pro-cyclical macro</w:t>
      </w:r>
      <w:r w:rsidR="0099325A" w:rsidRPr="008D3C1A">
        <w:rPr>
          <w:sz w:val="22"/>
          <w:szCs w:val="22"/>
          <w:lang w:val="en-GB"/>
        </w:rPr>
        <w:t>-policy regime</w:t>
      </w:r>
      <w:r w:rsidR="00A47C80" w:rsidRPr="008D3C1A">
        <w:rPr>
          <w:sz w:val="22"/>
          <w:szCs w:val="22"/>
          <w:lang w:val="en-GB"/>
        </w:rPr>
        <w:t>, as well as</w:t>
      </w:r>
      <w:r w:rsidRPr="008D3C1A">
        <w:rPr>
          <w:sz w:val="22"/>
          <w:szCs w:val="22"/>
          <w:lang w:val="en-GB"/>
        </w:rPr>
        <w:t xml:space="preserve"> a meag</w:t>
      </w:r>
      <w:r w:rsidR="00A47C80" w:rsidRPr="008D3C1A">
        <w:rPr>
          <w:sz w:val="22"/>
          <w:szCs w:val="22"/>
          <w:lang w:val="en-GB"/>
        </w:rPr>
        <w:t>re</w:t>
      </w:r>
      <w:r w:rsidRPr="008D3C1A">
        <w:rPr>
          <w:sz w:val="22"/>
          <w:szCs w:val="22"/>
          <w:lang w:val="en-GB"/>
        </w:rPr>
        <w:t xml:space="preserve"> and regressive average economic growth. The 1982 crisis </w:t>
      </w:r>
      <w:r w:rsidR="00A47C80" w:rsidRPr="008D3C1A">
        <w:rPr>
          <w:sz w:val="22"/>
          <w:szCs w:val="22"/>
          <w:lang w:val="en-GB"/>
        </w:rPr>
        <w:t xml:space="preserve">further </w:t>
      </w:r>
      <w:r w:rsidRPr="008D3C1A">
        <w:rPr>
          <w:sz w:val="22"/>
          <w:szCs w:val="22"/>
          <w:lang w:val="en-GB"/>
        </w:rPr>
        <w:t xml:space="preserve">worsened </w:t>
      </w:r>
      <w:r w:rsidR="00A47C80" w:rsidRPr="008D3C1A">
        <w:rPr>
          <w:sz w:val="22"/>
          <w:szCs w:val="22"/>
          <w:lang w:val="en-GB"/>
        </w:rPr>
        <w:t>this</w:t>
      </w:r>
      <w:r w:rsidRPr="008D3C1A">
        <w:rPr>
          <w:sz w:val="22"/>
          <w:szCs w:val="22"/>
          <w:lang w:val="en-GB"/>
        </w:rPr>
        <w:t xml:space="preserve"> mediocre outcome, </w:t>
      </w:r>
      <w:r w:rsidR="00A47C80" w:rsidRPr="008D3C1A">
        <w:rPr>
          <w:sz w:val="22"/>
          <w:szCs w:val="22"/>
          <w:lang w:val="en-GB"/>
        </w:rPr>
        <w:t xml:space="preserve">which was </w:t>
      </w:r>
      <w:r w:rsidRPr="008D3C1A">
        <w:rPr>
          <w:sz w:val="22"/>
          <w:szCs w:val="22"/>
          <w:lang w:val="en-GB"/>
        </w:rPr>
        <w:t>so unfriendly with development. Only by 1988 was Chile able to recover the GDP per capita achieved in 1981.</w:t>
      </w:r>
    </w:p>
    <w:p w:rsidR="00375161" w:rsidRPr="008D3C1A" w:rsidRDefault="00375161" w:rsidP="00AC15A7">
      <w:pPr>
        <w:pStyle w:val="Sangra2detindependiente"/>
        <w:spacing w:line="360" w:lineRule="auto"/>
        <w:rPr>
          <w:rFonts w:ascii="Times New Roman" w:hAnsi="Times New Roman"/>
          <w:sz w:val="22"/>
          <w:szCs w:val="22"/>
          <w:lang w:val="en-GB"/>
        </w:rPr>
      </w:pPr>
    </w:p>
    <w:p w:rsidR="00375161" w:rsidRPr="008D3C1A" w:rsidRDefault="00B90A7C" w:rsidP="004E552D">
      <w:pPr>
        <w:pStyle w:val="Sangra2detindependiente"/>
        <w:spacing w:after="120" w:line="360" w:lineRule="auto"/>
        <w:ind w:left="0" w:firstLine="0"/>
        <w:outlineLvl w:val="1"/>
        <w:rPr>
          <w:rFonts w:ascii="Times New Roman" w:hAnsi="Times New Roman"/>
          <w:b/>
          <w:i/>
          <w:szCs w:val="24"/>
          <w:lang w:val="en-GB"/>
        </w:rPr>
      </w:pPr>
      <w:bookmarkStart w:id="5" w:name="_Toc401076032"/>
      <w:r w:rsidRPr="008D3C1A">
        <w:rPr>
          <w:rFonts w:ascii="Times New Roman" w:hAnsi="Times New Roman"/>
          <w:b/>
          <w:i/>
          <w:szCs w:val="24"/>
          <w:lang w:val="en-GB"/>
        </w:rPr>
        <w:t xml:space="preserve">B. </w:t>
      </w:r>
      <w:r w:rsidR="00375161" w:rsidRPr="008D3C1A">
        <w:rPr>
          <w:rFonts w:ascii="Times New Roman" w:hAnsi="Times New Roman"/>
          <w:b/>
          <w:i/>
          <w:szCs w:val="24"/>
          <w:lang w:val="en-GB"/>
        </w:rPr>
        <w:t>Counter</w:t>
      </w:r>
      <w:r w:rsidRPr="008D3C1A">
        <w:rPr>
          <w:rFonts w:ascii="Times New Roman" w:hAnsi="Times New Roman"/>
          <w:b/>
          <w:i/>
          <w:szCs w:val="24"/>
          <w:lang w:val="en-GB"/>
        </w:rPr>
        <w:t>-</w:t>
      </w:r>
      <w:r w:rsidR="00375161" w:rsidRPr="008D3C1A">
        <w:rPr>
          <w:rFonts w:ascii="Times New Roman" w:hAnsi="Times New Roman"/>
          <w:b/>
          <w:i/>
          <w:szCs w:val="24"/>
          <w:lang w:val="en-GB"/>
        </w:rPr>
        <w:t>cyclical regulation of the capital account: 1990</w:t>
      </w:r>
      <w:r w:rsidR="00FF0AA7" w:rsidRPr="008D3C1A">
        <w:rPr>
          <w:rFonts w:ascii="Times New Roman" w:hAnsi="Times New Roman"/>
          <w:b/>
          <w:i/>
          <w:szCs w:val="24"/>
          <w:lang w:val="en-GB"/>
        </w:rPr>
        <w:t>–</w:t>
      </w:r>
      <w:r w:rsidR="00375161" w:rsidRPr="008D3C1A">
        <w:rPr>
          <w:rFonts w:ascii="Times New Roman" w:hAnsi="Times New Roman"/>
          <w:b/>
          <w:i/>
          <w:szCs w:val="24"/>
          <w:lang w:val="en-GB"/>
        </w:rPr>
        <w:t>95</w:t>
      </w:r>
      <w:bookmarkEnd w:id="5"/>
    </w:p>
    <w:p w:rsidR="00375161" w:rsidRPr="008D3C1A" w:rsidRDefault="00375161" w:rsidP="004E552D">
      <w:pPr>
        <w:pStyle w:val="Sangra2detindependiente"/>
        <w:spacing w:after="120" w:line="360" w:lineRule="auto"/>
        <w:ind w:left="0" w:firstLine="0"/>
        <w:rPr>
          <w:rFonts w:ascii="Times New Roman" w:hAnsi="Times New Roman"/>
          <w:sz w:val="22"/>
          <w:szCs w:val="22"/>
          <w:lang w:val="en-GB"/>
        </w:rPr>
      </w:pPr>
      <w:r w:rsidRPr="008D3C1A">
        <w:rPr>
          <w:rFonts w:ascii="Times New Roman" w:hAnsi="Times New Roman"/>
          <w:sz w:val="22"/>
          <w:szCs w:val="22"/>
          <w:lang w:val="en-GB"/>
        </w:rPr>
        <w:t>After the great debt crisis, Latin America regained access to private capital inflows by the early 1990s.</w:t>
      </w:r>
      <w:r w:rsidRPr="008D3C1A">
        <w:rPr>
          <w:rStyle w:val="Refdenotaalpie"/>
          <w:rFonts w:ascii="Times New Roman" w:hAnsi="Times New Roman"/>
          <w:sz w:val="22"/>
          <w:szCs w:val="22"/>
          <w:lang w:val="en-GB"/>
        </w:rPr>
        <w:footnoteReference w:id="10"/>
      </w:r>
      <w:r w:rsidRPr="008D3C1A">
        <w:rPr>
          <w:rFonts w:ascii="Times New Roman" w:hAnsi="Times New Roman"/>
          <w:sz w:val="22"/>
          <w:szCs w:val="22"/>
          <w:lang w:val="en-GB"/>
        </w:rPr>
        <w:t xml:space="preserve"> Chile was one of the first to attract new funds and was among the countries facing the greatest supply of inflows in relation to its economic size. </w:t>
      </w:r>
    </w:p>
    <w:p w:rsidR="00375161" w:rsidRPr="008D3C1A" w:rsidRDefault="00375161"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 xml:space="preserve">With the return to democracy in 1990, the Chilean economy faced the challenges of achieving a sustained high average growth and serving the </w:t>
      </w:r>
      <w:r w:rsidR="00287F26" w:rsidRPr="008D3C1A">
        <w:rPr>
          <w:rFonts w:ascii="Times New Roman" w:hAnsi="Times New Roman"/>
          <w:sz w:val="22"/>
          <w:szCs w:val="22"/>
          <w:lang w:val="en-GB"/>
        </w:rPr>
        <w:t xml:space="preserve">vast </w:t>
      </w:r>
      <w:r w:rsidRPr="008D3C1A">
        <w:rPr>
          <w:rFonts w:ascii="Times New Roman" w:hAnsi="Times New Roman"/>
          <w:sz w:val="22"/>
          <w:szCs w:val="22"/>
          <w:lang w:val="en-GB"/>
        </w:rPr>
        <w:t>social debt accumulated during the dictatorship. There were significant reforms of the market model</w:t>
      </w:r>
      <w:r w:rsidR="00287F26" w:rsidRPr="008D3C1A">
        <w:rPr>
          <w:rFonts w:ascii="Times New Roman" w:hAnsi="Times New Roman"/>
          <w:sz w:val="22"/>
          <w:szCs w:val="22"/>
          <w:lang w:val="en-GB"/>
        </w:rPr>
        <w:t>, including</w:t>
      </w:r>
      <w:r w:rsidRPr="008D3C1A">
        <w:rPr>
          <w:rFonts w:ascii="Times New Roman" w:hAnsi="Times New Roman"/>
          <w:sz w:val="22"/>
          <w:szCs w:val="22"/>
          <w:lang w:val="en-GB"/>
        </w:rPr>
        <w:t xml:space="preserve"> labo</w:t>
      </w:r>
      <w:r w:rsidR="00287F26" w:rsidRPr="008D3C1A">
        <w:rPr>
          <w:rFonts w:ascii="Times New Roman" w:hAnsi="Times New Roman"/>
          <w:sz w:val="22"/>
          <w:szCs w:val="22"/>
          <w:lang w:val="en-GB"/>
        </w:rPr>
        <w:t>u</w:t>
      </w:r>
      <w:r w:rsidRPr="008D3C1A">
        <w:rPr>
          <w:rFonts w:ascii="Times New Roman" w:hAnsi="Times New Roman"/>
          <w:sz w:val="22"/>
          <w:szCs w:val="22"/>
          <w:lang w:val="en-GB"/>
        </w:rPr>
        <w:t>r reforms (</w:t>
      </w:r>
      <w:r w:rsidR="00287F26" w:rsidRPr="008D3C1A">
        <w:rPr>
          <w:rFonts w:ascii="Times New Roman" w:hAnsi="Times New Roman"/>
          <w:sz w:val="22"/>
          <w:szCs w:val="22"/>
          <w:lang w:val="en-GB"/>
        </w:rPr>
        <w:t xml:space="preserve">which </w:t>
      </w:r>
      <w:r w:rsidRPr="008D3C1A">
        <w:rPr>
          <w:rFonts w:ascii="Times New Roman" w:hAnsi="Times New Roman"/>
          <w:sz w:val="22"/>
          <w:szCs w:val="22"/>
          <w:lang w:val="en-GB"/>
        </w:rPr>
        <w:t>restored several labo</w:t>
      </w:r>
      <w:r w:rsidR="00287F26" w:rsidRPr="008D3C1A">
        <w:rPr>
          <w:rFonts w:ascii="Times New Roman" w:hAnsi="Times New Roman"/>
          <w:sz w:val="22"/>
          <w:szCs w:val="22"/>
          <w:lang w:val="en-GB"/>
        </w:rPr>
        <w:t>u</w:t>
      </w:r>
      <w:r w:rsidRPr="008D3C1A">
        <w:rPr>
          <w:rFonts w:ascii="Times New Roman" w:hAnsi="Times New Roman"/>
          <w:sz w:val="22"/>
          <w:szCs w:val="22"/>
          <w:lang w:val="en-GB"/>
        </w:rPr>
        <w:t>r rights), a tax reform reintroducing taxes on profits eliminated by the dictatorship (</w:t>
      </w:r>
      <w:r w:rsidR="00287F26" w:rsidRPr="008D3C1A">
        <w:rPr>
          <w:rFonts w:ascii="Times New Roman" w:hAnsi="Times New Roman"/>
          <w:sz w:val="22"/>
          <w:szCs w:val="22"/>
          <w:lang w:val="en-GB"/>
        </w:rPr>
        <w:t xml:space="preserve">which </w:t>
      </w:r>
      <w:r w:rsidRPr="008D3C1A">
        <w:rPr>
          <w:rFonts w:ascii="Times New Roman" w:hAnsi="Times New Roman"/>
          <w:sz w:val="22"/>
          <w:szCs w:val="22"/>
          <w:lang w:val="en-GB"/>
        </w:rPr>
        <w:t xml:space="preserve">raised public revenue geared to improve social expenditure and the distributive effects of the tax system) and a substantive counter-cyclical reform in </w:t>
      </w:r>
      <w:r w:rsidRPr="008D3C1A">
        <w:rPr>
          <w:rFonts w:ascii="Times New Roman" w:hAnsi="Times New Roman"/>
          <w:sz w:val="22"/>
          <w:szCs w:val="22"/>
          <w:lang w:val="en-GB"/>
        </w:rPr>
        <w:lastRenderedPageBreak/>
        <w:t>macroeconomic policies.</w:t>
      </w:r>
      <w:r w:rsidR="00F85DF4" w:rsidRPr="008D3C1A">
        <w:rPr>
          <w:rStyle w:val="Refdenotaalpie"/>
          <w:rFonts w:ascii="Times New Roman" w:hAnsi="Times New Roman"/>
          <w:sz w:val="22"/>
          <w:szCs w:val="22"/>
          <w:lang w:val="en-GB"/>
        </w:rPr>
        <w:footnoteReference w:id="11"/>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t xml:space="preserve">In fact, the shadow of the great recession of 1982, </w:t>
      </w:r>
      <w:r w:rsidR="00287F26" w:rsidRPr="008D3C1A">
        <w:rPr>
          <w:rFonts w:ascii="Times New Roman" w:hAnsi="Times New Roman"/>
          <w:sz w:val="22"/>
          <w:szCs w:val="22"/>
          <w:lang w:val="en-GB"/>
        </w:rPr>
        <w:t xml:space="preserve">including </w:t>
      </w:r>
      <w:r w:rsidRPr="008D3C1A">
        <w:rPr>
          <w:rFonts w:ascii="Times New Roman" w:hAnsi="Times New Roman"/>
          <w:sz w:val="22"/>
          <w:szCs w:val="22"/>
          <w:lang w:val="en-GB"/>
        </w:rPr>
        <w:t xml:space="preserve">its negative impact on growth and equity, was quite present in the minds of the new authorities. Consequently, the top </w:t>
      </w:r>
      <w:r w:rsidR="001F5D91" w:rsidRPr="008D3C1A">
        <w:rPr>
          <w:rFonts w:ascii="Times New Roman" w:hAnsi="Times New Roman"/>
          <w:sz w:val="22"/>
          <w:szCs w:val="22"/>
          <w:lang w:val="en-GB"/>
        </w:rPr>
        <w:t>priorities</w:t>
      </w:r>
      <w:r w:rsidRPr="008D3C1A">
        <w:rPr>
          <w:rFonts w:ascii="Times New Roman" w:hAnsi="Times New Roman"/>
          <w:sz w:val="22"/>
          <w:szCs w:val="22"/>
          <w:lang w:val="en-GB"/>
        </w:rPr>
        <w:t xml:space="preserve"> for implementing macroeconomic policies</w:t>
      </w:r>
      <w:r w:rsidR="001F5D91" w:rsidRPr="008D3C1A">
        <w:rPr>
          <w:rFonts w:ascii="Times New Roman" w:hAnsi="Times New Roman"/>
          <w:sz w:val="22"/>
          <w:szCs w:val="22"/>
          <w:lang w:val="en-GB"/>
        </w:rPr>
        <w:t xml:space="preserve"> were</w:t>
      </w:r>
      <w:r w:rsidRPr="008D3C1A">
        <w:rPr>
          <w:rFonts w:ascii="Times New Roman" w:hAnsi="Times New Roman"/>
          <w:sz w:val="22"/>
          <w:szCs w:val="22"/>
          <w:lang w:val="en-GB"/>
        </w:rPr>
        <w:t xml:space="preserve"> achieving sustained equilibrium in financial markets and the real economy, diminishing vulnerability to external shocks and improving employment. The macroeconomic reforms were implemented in the capital account, exchange rate, monetary and regulation policies, under the view that the equilibrium of the “real” economy was crucial for growth with equity; in parallel, </w:t>
      </w:r>
      <w:r w:rsidR="006831F0" w:rsidRPr="008D3C1A">
        <w:rPr>
          <w:rFonts w:ascii="Times New Roman" w:hAnsi="Times New Roman"/>
          <w:sz w:val="22"/>
          <w:szCs w:val="22"/>
          <w:lang w:val="en-GB"/>
        </w:rPr>
        <w:t>care</w:t>
      </w:r>
      <w:r w:rsidRPr="008D3C1A">
        <w:rPr>
          <w:rFonts w:ascii="Times New Roman" w:hAnsi="Times New Roman"/>
          <w:sz w:val="22"/>
          <w:szCs w:val="22"/>
          <w:lang w:val="en-GB"/>
        </w:rPr>
        <w:t xml:space="preserve"> was taken of fiscal responsibility.  </w:t>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t>Chilean public policy in the first half of the 1990s represented a significant step toward</w:t>
      </w:r>
      <w:r w:rsidR="00287F26" w:rsidRPr="008D3C1A">
        <w:rPr>
          <w:rFonts w:ascii="Times New Roman" w:hAnsi="Times New Roman"/>
          <w:sz w:val="22"/>
          <w:szCs w:val="22"/>
          <w:lang w:val="en-GB"/>
        </w:rPr>
        <w:t>s</w:t>
      </w:r>
      <w:r w:rsidRPr="008D3C1A">
        <w:rPr>
          <w:rFonts w:ascii="Times New Roman" w:hAnsi="Times New Roman"/>
          <w:sz w:val="22"/>
          <w:szCs w:val="22"/>
          <w:lang w:val="en-GB"/>
        </w:rPr>
        <w:t xml:space="preserve"> a counter-cyclical approach to macroeconomic management. In brief, policymakers responded to the massive availability of foreign capital by implementing counter-cyclical policies to moderate short-term and liquid inflows</w:t>
      </w:r>
      <w:r w:rsidR="00287F26" w:rsidRPr="008D3C1A">
        <w:rPr>
          <w:rFonts w:ascii="Times New Roman" w:hAnsi="Times New Roman"/>
          <w:sz w:val="22"/>
          <w:szCs w:val="22"/>
          <w:lang w:val="en-GB"/>
        </w:rPr>
        <w:t>,</w:t>
      </w:r>
      <w:r w:rsidRPr="008D3C1A">
        <w:rPr>
          <w:rFonts w:ascii="Times New Roman" w:hAnsi="Times New Roman"/>
          <w:sz w:val="22"/>
          <w:szCs w:val="22"/>
          <w:lang w:val="en-GB"/>
        </w:rPr>
        <w:t xml:space="preserve"> while keeping the door open to long-term flows. </w:t>
      </w:r>
      <w:r w:rsidR="00287F26" w:rsidRPr="008D3C1A">
        <w:rPr>
          <w:rFonts w:ascii="Times New Roman" w:hAnsi="Times New Roman"/>
          <w:sz w:val="22"/>
          <w:szCs w:val="22"/>
          <w:lang w:val="en-GB"/>
        </w:rPr>
        <w:t>I</w:t>
      </w:r>
      <w:r w:rsidRPr="008D3C1A">
        <w:rPr>
          <w:rFonts w:ascii="Times New Roman" w:hAnsi="Times New Roman"/>
          <w:sz w:val="22"/>
          <w:szCs w:val="22"/>
          <w:lang w:val="en-GB"/>
        </w:rPr>
        <w:t>n a tightly coordinated action by the Ministry of Finance and the Autonomous Central Bank</w:t>
      </w:r>
      <w:r w:rsidR="00287F26" w:rsidRPr="008D3C1A">
        <w:rPr>
          <w:rFonts w:ascii="Times New Roman" w:hAnsi="Times New Roman"/>
          <w:sz w:val="22"/>
          <w:szCs w:val="22"/>
          <w:lang w:val="en-GB"/>
        </w:rPr>
        <w:t>, the authorities</w:t>
      </w:r>
      <w:r w:rsidRPr="008D3C1A">
        <w:rPr>
          <w:rFonts w:ascii="Times New Roman" w:hAnsi="Times New Roman"/>
          <w:sz w:val="22"/>
          <w:szCs w:val="22"/>
          <w:lang w:val="en-GB"/>
        </w:rPr>
        <w:t xml:space="preserve"> made use of a wide range of measures to regulate the surge in the offer of financial inflows in 1990–95. </w:t>
      </w:r>
      <w:r w:rsidR="00287F26" w:rsidRPr="008D3C1A">
        <w:rPr>
          <w:rFonts w:ascii="Times New Roman" w:hAnsi="Times New Roman"/>
          <w:sz w:val="22"/>
          <w:szCs w:val="22"/>
          <w:lang w:val="en-GB"/>
        </w:rPr>
        <w:t>As</w:t>
      </w:r>
      <w:r w:rsidRPr="008D3C1A">
        <w:rPr>
          <w:rFonts w:ascii="Times New Roman" w:hAnsi="Times New Roman"/>
          <w:sz w:val="22"/>
          <w:szCs w:val="22"/>
          <w:lang w:val="en-GB"/>
        </w:rPr>
        <w:t xml:space="preserve"> a crucial piece, </w:t>
      </w:r>
      <w:r w:rsidR="00287F26" w:rsidRPr="008D3C1A">
        <w:rPr>
          <w:rFonts w:ascii="Times New Roman" w:hAnsi="Times New Roman"/>
          <w:sz w:val="22"/>
          <w:szCs w:val="22"/>
          <w:lang w:val="en-GB"/>
        </w:rPr>
        <w:t xml:space="preserve">this included </w:t>
      </w:r>
      <w:r w:rsidRPr="008D3C1A">
        <w:rPr>
          <w:rFonts w:ascii="Times New Roman" w:hAnsi="Times New Roman"/>
          <w:sz w:val="22"/>
          <w:szCs w:val="22"/>
          <w:lang w:val="en-GB"/>
        </w:rPr>
        <w:t xml:space="preserve">an unremunerated reserve requirement (called </w:t>
      </w:r>
      <w:r w:rsidRPr="008D3C1A">
        <w:rPr>
          <w:rFonts w:ascii="Times New Roman" w:hAnsi="Times New Roman"/>
          <w:i/>
          <w:sz w:val="22"/>
          <w:szCs w:val="22"/>
          <w:lang w:val="en-GB"/>
        </w:rPr>
        <w:t>encaje</w:t>
      </w:r>
      <w:r w:rsidRPr="008D3C1A">
        <w:rPr>
          <w:rFonts w:ascii="Times New Roman" w:hAnsi="Times New Roman"/>
          <w:sz w:val="22"/>
          <w:szCs w:val="22"/>
          <w:lang w:val="en-GB"/>
        </w:rPr>
        <w:t>) established to raise the cost of bringing in short-term capital</w:t>
      </w:r>
      <w:r w:rsidR="00287F26" w:rsidRPr="008D3C1A">
        <w:rPr>
          <w:rFonts w:ascii="Times New Roman" w:hAnsi="Times New Roman"/>
          <w:sz w:val="22"/>
          <w:szCs w:val="22"/>
          <w:lang w:val="en-GB"/>
        </w:rPr>
        <w:t xml:space="preserve">, </w:t>
      </w:r>
      <w:r w:rsidR="006323F3">
        <w:rPr>
          <w:rFonts w:ascii="Times New Roman" w:hAnsi="Times New Roman"/>
          <w:sz w:val="22"/>
          <w:szCs w:val="22"/>
          <w:lang w:val="en-GB"/>
        </w:rPr>
        <w:t xml:space="preserve">which is </w:t>
      </w:r>
      <w:r w:rsidR="00610291">
        <w:rPr>
          <w:rFonts w:ascii="Times New Roman" w:hAnsi="Times New Roman"/>
          <w:sz w:val="22"/>
          <w:szCs w:val="22"/>
          <w:lang w:val="en-GB"/>
        </w:rPr>
        <w:t>a</w:t>
      </w:r>
      <w:r w:rsidRPr="008D3C1A">
        <w:rPr>
          <w:rFonts w:ascii="Times New Roman" w:hAnsi="Times New Roman"/>
          <w:sz w:val="22"/>
          <w:szCs w:val="22"/>
          <w:lang w:val="en-GB"/>
        </w:rPr>
        <w:t xml:space="preserve"> market-based instrument that affects relative costs. The rate of the </w:t>
      </w:r>
      <w:r w:rsidRPr="008D3C1A">
        <w:rPr>
          <w:rFonts w:ascii="Times New Roman" w:hAnsi="Times New Roman"/>
          <w:i/>
          <w:sz w:val="22"/>
          <w:szCs w:val="22"/>
          <w:lang w:val="en-GB"/>
        </w:rPr>
        <w:t>encaje</w:t>
      </w:r>
      <w:r w:rsidR="004C315B" w:rsidRPr="008D3C1A">
        <w:rPr>
          <w:rFonts w:ascii="Times New Roman" w:hAnsi="Times New Roman"/>
          <w:sz w:val="22"/>
          <w:szCs w:val="22"/>
          <w:lang w:val="en-GB"/>
        </w:rPr>
        <w:t>, its coverage</w:t>
      </w:r>
      <w:r w:rsidRPr="008D3C1A">
        <w:rPr>
          <w:rFonts w:ascii="Times New Roman" w:hAnsi="Times New Roman"/>
          <w:sz w:val="22"/>
          <w:szCs w:val="22"/>
          <w:lang w:val="en-GB"/>
        </w:rPr>
        <w:t xml:space="preserve">and the term for which it was retained in the Central Bank were </w:t>
      </w:r>
      <w:r w:rsidR="00287F26" w:rsidRPr="008D3C1A">
        <w:rPr>
          <w:rFonts w:ascii="Times New Roman" w:hAnsi="Times New Roman"/>
          <w:sz w:val="22"/>
          <w:szCs w:val="22"/>
          <w:lang w:val="en-GB"/>
        </w:rPr>
        <w:t>periodically</w:t>
      </w:r>
      <w:r w:rsidRPr="008D3C1A">
        <w:rPr>
          <w:rFonts w:ascii="Times New Roman" w:hAnsi="Times New Roman"/>
          <w:sz w:val="22"/>
          <w:szCs w:val="22"/>
          <w:lang w:val="en-GB"/>
        </w:rPr>
        <w:t xml:space="preserve">adjusted according to the intensity of the supply of funds from abroad and the evolution of international interest rates (Ffrench-Davis, 2010). </w:t>
      </w:r>
      <w:r w:rsidR="00287F26" w:rsidRPr="008D3C1A">
        <w:rPr>
          <w:rFonts w:ascii="Times New Roman" w:hAnsi="Times New Roman"/>
          <w:sz w:val="22"/>
          <w:szCs w:val="22"/>
          <w:lang w:val="en-GB"/>
        </w:rPr>
        <w:t>Up</w:t>
      </w:r>
      <w:r w:rsidR="004C315B" w:rsidRPr="008D3C1A">
        <w:rPr>
          <w:rFonts w:ascii="Times New Roman" w:hAnsi="Times New Roman"/>
          <w:sz w:val="22"/>
          <w:szCs w:val="22"/>
          <w:lang w:val="en-GB"/>
        </w:rPr>
        <w:t xml:space="preserve"> to 1995, </w:t>
      </w:r>
      <w:r w:rsidR="00287F26" w:rsidRPr="008D3C1A">
        <w:rPr>
          <w:rFonts w:ascii="Times New Roman" w:hAnsi="Times New Roman"/>
          <w:sz w:val="22"/>
          <w:szCs w:val="22"/>
          <w:lang w:val="en-GB"/>
        </w:rPr>
        <w:t xml:space="preserve">the authorities </w:t>
      </w:r>
      <w:r w:rsidR="004C315B" w:rsidRPr="008D3C1A">
        <w:rPr>
          <w:rFonts w:ascii="Times New Roman" w:hAnsi="Times New Roman"/>
          <w:sz w:val="22"/>
          <w:szCs w:val="22"/>
          <w:lang w:val="en-GB"/>
        </w:rPr>
        <w:t xml:space="preserve">systematically monitored avoidances that might be appearing in the effectiveness of the </w:t>
      </w:r>
      <w:r w:rsidR="004C315B" w:rsidRPr="008D3C1A">
        <w:rPr>
          <w:rFonts w:ascii="Times New Roman" w:hAnsi="Times New Roman"/>
          <w:i/>
          <w:sz w:val="22"/>
          <w:szCs w:val="22"/>
          <w:lang w:val="en-GB"/>
        </w:rPr>
        <w:t>encaje.</w:t>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t xml:space="preserve">The authorities also used exchange rate intervention to hold down its real appreciation to a level consistent with the external balance, </w:t>
      </w:r>
      <w:r w:rsidR="00287F26" w:rsidRPr="008D3C1A">
        <w:rPr>
          <w:rFonts w:ascii="Times New Roman" w:hAnsi="Times New Roman"/>
          <w:sz w:val="22"/>
          <w:szCs w:val="22"/>
          <w:lang w:val="en-GB"/>
        </w:rPr>
        <w:t xml:space="preserve">as well as </w:t>
      </w:r>
      <w:r w:rsidRPr="008D3C1A">
        <w:rPr>
          <w:rFonts w:ascii="Times New Roman" w:hAnsi="Times New Roman"/>
          <w:sz w:val="22"/>
          <w:szCs w:val="22"/>
          <w:lang w:val="en-GB"/>
        </w:rPr>
        <w:t>monetary sterili</w:t>
      </w:r>
      <w:r w:rsidR="00EA5066" w:rsidRPr="008D3C1A">
        <w:rPr>
          <w:rFonts w:ascii="Times New Roman" w:hAnsi="Times New Roman"/>
          <w:sz w:val="22"/>
          <w:szCs w:val="22"/>
          <w:lang w:val="en-GB"/>
        </w:rPr>
        <w:t>s</w:t>
      </w:r>
      <w:r w:rsidRPr="008D3C1A">
        <w:rPr>
          <w:rFonts w:ascii="Times New Roman" w:hAnsi="Times New Roman"/>
          <w:sz w:val="22"/>
          <w:szCs w:val="22"/>
          <w:lang w:val="en-GB"/>
        </w:rPr>
        <w:t xml:space="preserve">ation to keep domestic demand consistent with potential GDP. These and other counter-cyclical policies supported a development strategy that encouraged export growth and its diversification, </w:t>
      </w:r>
      <w:r w:rsidR="00287F26" w:rsidRPr="008D3C1A">
        <w:rPr>
          <w:rFonts w:ascii="Times New Roman" w:hAnsi="Times New Roman"/>
          <w:sz w:val="22"/>
          <w:szCs w:val="22"/>
          <w:lang w:val="en-GB"/>
        </w:rPr>
        <w:t xml:space="preserve">as well as </w:t>
      </w:r>
      <w:r w:rsidRPr="008D3C1A">
        <w:rPr>
          <w:rFonts w:ascii="Times New Roman" w:hAnsi="Times New Roman"/>
          <w:sz w:val="22"/>
          <w:szCs w:val="22"/>
          <w:lang w:val="en-GB"/>
        </w:rPr>
        <w:t>productive investment and employment.</w:t>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t xml:space="preserve">Three other policies contributed to the success in managing capital inflows. First, </w:t>
      </w:r>
      <w:r w:rsidR="00287F26" w:rsidRPr="008D3C1A">
        <w:rPr>
          <w:rFonts w:ascii="Times New Roman" w:hAnsi="Times New Roman"/>
          <w:sz w:val="22"/>
          <w:szCs w:val="22"/>
          <w:lang w:val="en-GB"/>
        </w:rPr>
        <w:t xml:space="preserve">there was </w:t>
      </w:r>
      <w:r w:rsidRPr="008D3C1A">
        <w:rPr>
          <w:rFonts w:ascii="Times New Roman" w:hAnsi="Times New Roman"/>
          <w:sz w:val="22"/>
          <w:szCs w:val="22"/>
          <w:lang w:val="en-GB"/>
        </w:rPr>
        <w:t>a responsible fiscal policy</w:t>
      </w:r>
      <w:r w:rsidR="00287F26" w:rsidRPr="008D3C1A">
        <w:rPr>
          <w:rFonts w:ascii="Times New Roman" w:hAnsi="Times New Roman"/>
          <w:sz w:val="22"/>
          <w:szCs w:val="22"/>
          <w:lang w:val="en-GB"/>
        </w:rPr>
        <w:t>, whereby</w:t>
      </w:r>
      <w:r w:rsidRPr="008D3C1A">
        <w:rPr>
          <w:rFonts w:ascii="Times New Roman" w:hAnsi="Times New Roman"/>
          <w:sz w:val="22"/>
          <w:szCs w:val="22"/>
          <w:lang w:val="en-GB"/>
        </w:rPr>
        <w:t xml:space="preserve"> permanent increases in social spending were financed with permanent new taxes. Consequently, Chile had a significant non-financial public sector surplus</w:t>
      </w:r>
      <w:r w:rsidR="00287F26" w:rsidRPr="008D3C1A">
        <w:rPr>
          <w:rFonts w:ascii="Times New Roman" w:hAnsi="Times New Roman"/>
          <w:sz w:val="22"/>
          <w:szCs w:val="22"/>
          <w:lang w:val="en-GB"/>
        </w:rPr>
        <w:t xml:space="preserve"> in 1990-97,</w:t>
      </w:r>
      <w:r w:rsidRPr="008D3C1A">
        <w:rPr>
          <w:rFonts w:ascii="Times New Roman" w:hAnsi="Times New Roman"/>
          <w:sz w:val="22"/>
          <w:szCs w:val="22"/>
          <w:lang w:val="en-GB"/>
        </w:rPr>
        <w:t xml:space="preserve"> averaging 1.8</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of GDP</w:t>
      </w:r>
      <w:r w:rsidR="00DE7D01" w:rsidRPr="008D3C1A">
        <w:rPr>
          <w:rFonts w:ascii="Times New Roman" w:hAnsi="Times New Roman"/>
          <w:sz w:val="22"/>
          <w:szCs w:val="22"/>
          <w:lang w:val="en-GB"/>
        </w:rPr>
        <w:t>,</w:t>
      </w:r>
      <w:r w:rsidRPr="008D3C1A">
        <w:rPr>
          <w:rFonts w:ascii="Times New Roman" w:hAnsi="Times New Roman"/>
          <w:sz w:val="22"/>
          <w:szCs w:val="22"/>
          <w:lang w:val="en-GB"/>
        </w:rPr>
        <w:t xml:space="preserve"> which was used to reduce the large </w:t>
      </w:r>
      <w:r w:rsidR="006831F0" w:rsidRPr="008D3C1A">
        <w:rPr>
          <w:rFonts w:ascii="Times New Roman" w:hAnsi="Times New Roman"/>
          <w:sz w:val="22"/>
          <w:szCs w:val="22"/>
          <w:lang w:val="en-GB"/>
        </w:rPr>
        <w:t xml:space="preserve">external </w:t>
      </w:r>
      <w:r w:rsidRPr="008D3C1A">
        <w:rPr>
          <w:rFonts w:ascii="Times New Roman" w:hAnsi="Times New Roman"/>
          <w:sz w:val="22"/>
          <w:szCs w:val="22"/>
          <w:lang w:val="en-GB"/>
        </w:rPr>
        <w:lastRenderedPageBreak/>
        <w:t>liabilities generated during the 1980s crisis.  The prudential fiscal approach included observing the regulations of a stabili</w:t>
      </w:r>
      <w:r w:rsidR="00EA5066" w:rsidRPr="008D3C1A">
        <w:rPr>
          <w:rFonts w:ascii="Times New Roman" w:hAnsi="Times New Roman"/>
          <w:sz w:val="22"/>
          <w:szCs w:val="22"/>
          <w:lang w:val="en-GB"/>
        </w:rPr>
        <w:t>s</w:t>
      </w:r>
      <w:r w:rsidRPr="008D3C1A">
        <w:rPr>
          <w:rFonts w:ascii="Times New Roman" w:hAnsi="Times New Roman"/>
          <w:sz w:val="22"/>
          <w:szCs w:val="22"/>
          <w:lang w:val="en-GB"/>
        </w:rPr>
        <w:t xml:space="preserve">ation fund for public copper revenues, which contributed to </w:t>
      </w:r>
      <w:r w:rsidR="00287F26" w:rsidRPr="008D3C1A">
        <w:rPr>
          <w:rFonts w:ascii="Times New Roman" w:hAnsi="Times New Roman"/>
          <w:sz w:val="22"/>
          <w:szCs w:val="22"/>
          <w:lang w:val="en-GB"/>
        </w:rPr>
        <w:t>stabili</w:t>
      </w:r>
      <w:r w:rsidR="00EA5066" w:rsidRPr="008D3C1A">
        <w:rPr>
          <w:rFonts w:ascii="Times New Roman" w:hAnsi="Times New Roman"/>
          <w:sz w:val="22"/>
          <w:szCs w:val="22"/>
          <w:lang w:val="en-GB"/>
        </w:rPr>
        <w:t>sing</w:t>
      </w:r>
      <w:r w:rsidRPr="008D3C1A">
        <w:rPr>
          <w:rFonts w:ascii="Times New Roman" w:hAnsi="Times New Roman"/>
          <w:sz w:val="22"/>
          <w:szCs w:val="22"/>
          <w:lang w:val="en-GB"/>
        </w:rPr>
        <w:t xml:space="preserve">public expenditure and preventing excessive exchange rate appreciation. Of course, running a fiscal surplus does not guarantee financial stability; recall that the great 1982 crisis occurred despite Chile having had large fiscal surpluses. </w:t>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t xml:space="preserve">Second, prudential banking regulations had been introduced in 1986 in response to the banking crisis of 1982–83. The democratic authorities effectively resisted pressures to weaken supervision when lobbying sectors argued that the system was </w:t>
      </w:r>
      <w:r w:rsidR="00287F26" w:rsidRPr="008D3C1A">
        <w:rPr>
          <w:rFonts w:ascii="Times New Roman" w:hAnsi="Times New Roman"/>
          <w:sz w:val="22"/>
          <w:szCs w:val="22"/>
          <w:lang w:val="en-GB"/>
        </w:rPr>
        <w:t xml:space="preserve">sufficiently </w:t>
      </w:r>
      <w:r w:rsidRPr="008D3C1A">
        <w:rPr>
          <w:rFonts w:ascii="Times New Roman" w:hAnsi="Times New Roman"/>
          <w:sz w:val="22"/>
          <w:szCs w:val="22"/>
          <w:lang w:val="en-GB"/>
        </w:rPr>
        <w:t>mature to self-regulate. This deterred capital inflows to trigger another domestic credit boom</w:t>
      </w:r>
      <w:r w:rsidR="004C315B" w:rsidRPr="008D3C1A">
        <w:rPr>
          <w:rFonts w:ascii="Times New Roman" w:hAnsi="Times New Roman"/>
          <w:sz w:val="22"/>
          <w:szCs w:val="22"/>
          <w:lang w:val="en-GB"/>
        </w:rPr>
        <w:t>.</w:t>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t xml:space="preserve">Third, authorities continually monitored aggregate demand and its consistency with productive capacity. Consequently, macroeconomic disequilibria were not allowed to accumulate. Some overheating occurred in 1991 and 1993, </w:t>
      </w:r>
      <w:r w:rsidR="00287F26" w:rsidRPr="008D3C1A">
        <w:rPr>
          <w:rFonts w:ascii="Times New Roman" w:hAnsi="Times New Roman"/>
          <w:sz w:val="22"/>
          <w:szCs w:val="22"/>
          <w:lang w:val="en-GB"/>
        </w:rPr>
        <w:t xml:space="preserve">although </w:t>
      </w:r>
      <w:r w:rsidRPr="008D3C1A">
        <w:rPr>
          <w:rFonts w:ascii="Times New Roman" w:hAnsi="Times New Roman"/>
          <w:sz w:val="22"/>
          <w:szCs w:val="22"/>
          <w:lang w:val="en-GB"/>
        </w:rPr>
        <w:t>the authorities conducted a downward adjustment in aggregate demand</w:t>
      </w:r>
      <w:r w:rsidR="00287F26" w:rsidRPr="008D3C1A">
        <w:rPr>
          <w:rFonts w:ascii="Times New Roman" w:hAnsi="Times New Roman"/>
          <w:sz w:val="22"/>
          <w:szCs w:val="22"/>
          <w:lang w:val="en-GB"/>
        </w:rPr>
        <w:t xml:space="preserve"> in due time</w:t>
      </w:r>
      <w:r w:rsidRPr="008D3C1A">
        <w:rPr>
          <w:rFonts w:ascii="Times New Roman" w:hAnsi="Times New Roman"/>
          <w:sz w:val="22"/>
          <w:szCs w:val="22"/>
          <w:lang w:val="en-GB"/>
        </w:rPr>
        <w:t xml:space="preserve">. Chile was able to make active monetary policy with a significant interest rate differential with the US rate when needed for domestic equilibria, thanks to the policy space provided by the </w:t>
      </w:r>
      <w:r w:rsidRPr="008D3C1A">
        <w:rPr>
          <w:rFonts w:ascii="Times New Roman" w:hAnsi="Times New Roman"/>
          <w:i/>
          <w:sz w:val="22"/>
          <w:szCs w:val="22"/>
          <w:lang w:val="en-GB"/>
        </w:rPr>
        <w:t xml:space="preserve">encaje. </w:t>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t xml:space="preserve">The set of policies was highly successful, in the sense that </w:t>
      </w:r>
      <w:r w:rsidR="00287F26" w:rsidRPr="008D3C1A">
        <w:rPr>
          <w:rFonts w:ascii="Times New Roman" w:hAnsi="Times New Roman"/>
          <w:sz w:val="22"/>
          <w:szCs w:val="22"/>
          <w:lang w:val="en-GB"/>
        </w:rPr>
        <w:t xml:space="preserve">during </w:t>
      </w:r>
      <w:r w:rsidRPr="008D3C1A">
        <w:rPr>
          <w:rFonts w:ascii="Times New Roman" w:hAnsi="Times New Roman"/>
          <w:sz w:val="22"/>
          <w:szCs w:val="22"/>
          <w:lang w:val="en-GB"/>
        </w:rPr>
        <w:t>1990–95</w:t>
      </w:r>
      <w:r w:rsidR="00287F26" w:rsidRPr="008D3C1A">
        <w:rPr>
          <w:rFonts w:ascii="Times New Roman" w:hAnsi="Times New Roman"/>
          <w:sz w:val="22"/>
          <w:szCs w:val="22"/>
          <w:lang w:val="en-GB"/>
        </w:rPr>
        <w:t xml:space="preserve"> –</w:t>
      </w:r>
      <w:r w:rsidRPr="008D3C1A">
        <w:rPr>
          <w:rFonts w:ascii="Times New Roman" w:hAnsi="Times New Roman"/>
          <w:sz w:val="22"/>
          <w:szCs w:val="22"/>
          <w:lang w:val="en-GB"/>
        </w:rPr>
        <w:t xml:space="preserve"> and especially when the contagion of the tequila crisis spread in 1995</w:t>
      </w:r>
      <w:r w:rsidR="00287F26" w:rsidRPr="008D3C1A">
        <w:rPr>
          <w:rFonts w:ascii="Times New Roman" w:hAnsi="Times New Roman"/>
          <w:sz w:val="22"/>
          <w:szCs w:val="22"/>
          <w:lang w:val="en-GB"/>
        </w:rPr>
        <w:t xml:space="preserve"> – </w:t>
      </w:r>
      <w:r w:rsidRPr="008D3C1A">
        <w:rPr>
          <w:rFonts w:ascii="Times New Roman" w:hAnsi="Times New Roman"/>
          <w:sz w:val="22"/>
          <w:szCs w:val="22"/>
          <w:lang w:val="en-GB"/>
        </w:rPr>
        <w:t>the current account deficit was moderate (2.3</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of GDP in 1990</w:t>
      </w:r>
      <w:r w:rsidR="00FF0AA7" w:rsidRPr="008D3C1A">
        <w:rPr>
          <w:rFonts w:ascii="Times New Roman" w:hAnsi="Times New Roman"/>
          <w:sz w:val="22"/>
          <w:szCs w:val="22"/>
          <w:lang w:val="en-GB"/>
        </w:rPr>
        <w:t>–</w:t>
      </w:r>
      <w:r w:rsidRPr="008D3C1A">
        <w:rPr>
          <w:rFonts w:ascii="Times New Roman" w:hAnsi="Times New Roman"/>
          <w:sz w:val="22"/>
          <w:szCs w:val="22"/>
          <w:lang w:val="en-GB"/>
        </w:rPr>
        <w:t xml:space="preserve">95), its financing </w:t>
      </w:r>
      <w:r w:rsidR="00287F26" w:rsidRPr="008D3C1A">
        <w:rPr>
          <w:rFonts w:ascii="Times New Roman" w:hAnsi="Times New Roman"/>
          <w:sz w:val="22"/>
          <w:szCs w:val="22"/>
          <w:lang w:val="en-GB"/>
        </w:rPr>
        <w:t>mostly involved</w:t>
      </w:r>
      <w:r w:rsidRPr="008D3C1A">
        <w:rPr>
          <w:rFonts w:ascii="Times New Roman" w:hAnsi="Times New Roman"/>
          <w:sz w:val="22"/>
          <w:szCs w:val="22"/>
          <w:lang w:val="en-GB"/>
        </w:rPr>
        <w:t xml:space="preserve"> long-term inflows, international reserves were</w:t>
      </w:r>
      <w:r w:rsidR="00F85DF4">
        <w:rPr>
          <w:rFonts w:ascii="Times New Roman" w:hAnsi="Times New Roman"/>
          <w:sz w:val="22"/>
          <w:szCs w:val="22"/>
          <w:lang w:val="en-GB"/>
        </w:rPr>
        <w:t xml:space="preserve"> en</w:t>
      </w:r>
      <w:r w:rsidRPr="008D3C1A">
        <w:rPr>
          <w:rFonts w:ascii="Times New Roman" w:hAnsi="Times New Roman"/>
          <w:sz w:val="22"/>
          <w:szCs w:val="22"/>
          <w:lang w:val="en-GB"/>
        </w:rPr>
        <w:t>large</w:t>
      </w:r>
      <w:r w:rsidR="00F85DF4">
        <w:rPr>
          <w:rFonts w:ascii="Times New Roman" w:hAnsi="Times New Roman"/>
          <w:sz w:val="22"/>
          <w:szCs w:val="22"/>
          <w:lang w:val="en-GB"/>
        </w:rPr>
        <w:t>d</w:t>
      </w:r>
      <w:r w:rsidRPr="008D3C1A">
        <w:rPr>
          <w:rFonts w:ascii="Times New Roman" w:hAnsi="Times New Roman"/>
          <w:sz w:val="22"/>
          <w:szCs w:val="22"/>
          <w:lang w:val="en-GB"/>
        </w:rPr>
        <w:t>,  the total short-term external liabilities were held to a fairly low magnitude,</w:t>
      </w:r>
      <w:r w:rsidRPr="008D3C1A">
        <w:rPr>
          <w:rStyle w:val="Refdenotaalpie"/>
          <w:rFonts w:ascii="Times New Roman" w:hAnsi="Times New Roman"/>
          <w:sz w:val="22"/>
          <w:szCs w:val="22"/>
          <w:lang w:val="en-GB"/>
        </w:rPr>
        <w:footnoteReference w:id="12"/>
      </w:r>
      <w:r w:rsidRPr="008D3C1A">
        <w:rPr>
          <w:rFonts w:ascii="Times New Roman" w:hAnsi="Times New Roman"/>
          <w:sz w:val="22"/>
          <w:szCs w:val="22"/>
          <w:lang w:val="en-GB"/>
        </w:rPr>
        <w:t xml:space="preserve"> aggregate demand </w:t>
      </w:r>
      <w:r w:rsidR="00287F26" w:rsidRPr="008D3C1A">
        <w:rPr>
          <w:rFonts w:ascii="Times New Roman" w:hAnsi="Times New Roman"/>
          <w:sz w:val="22"/>
          <w:szCs w:val="22"/>
          <w:lang w:val="en-GB"/>
        </w:rPr>
        <w:t>was</w:t>
      </w:r>
      <w:r w:rsidRPr="008D3C1A">
        <w:rPr>
          <w:rFonts w:ascii="Times New Roman" w:hAnsi="Times New Roman"/>
          <w:sz w:val="22"/>
          <w:szCs w:val="22"/>
          <w:lang w:val="en-GB"/>
        </w:rPr>
        <w:t xml:space="preserve"> consistent with potential GDP and the real exchange rate was kept at a sustainable level</w:t>
      </w:r>
      <w:r w:rsidR="00287F26" w:rsidRPr="008D3C1A">
        <w:rPr>
          <w:rFonts w:ascii="Times New Roman" w:hAnsi="Times New Roman"/>
          <w:sz w:val="22"/>
          <w:szCs w:val="22"/>
          <w:lang w:val="en-GB"/>
        </w:rPr>
        <w:t>,</w:t>
      </w:r>
      <w:r w:rsidRPr="008D3C1A">
        <w:rPr>
          <w:rFonts w:ascii="Times New Roman" w:hAnsi="Times New Roman"/>
          <w:sz w:val="22"/>
          <w:szCs w:val="22"/>
          <w:lang w:val="en-GB"/>
        </w:rPr>
        <w:t xml:space="preserve"> as shown by </w:t>
      </w:r>
      <w:r w:rsidR="006831F0" w:rsidRPr="008D3C1A">
        <w:rPr>
          <w:rFonts w:ascii="Times New Roman" w:hAnsi="Times New Roman"/>
          <w:sz w:val="22"/>
          <w:szCs w:val="22"/>
          <w:lang w:val="en-GB"/>
        </w:rPr>
        <w:t>the</w:t>
      </w:r>
      <w:r w:rsidRPr="008D3C1A">
        <w:rPr>
          <w:rFonts w:ascii="Times New Roman" w:hAnsi="Times New Roman"/>
          <w:sz w:val="22"/>
          <w:szCs w:val="22"/>
          <w:lang w:val="en-GB"/>
        </w:rPr>
        <w:t xml:space="preserve"> moderate deficit on current account financed by greenfield FDI. All these are conditions of comprehensive re</w:t>
      </w:r>
      <w:r w:rsidR="00503C16" w:rsidRPr="008D3C1A">
        <w:rPr>
          <w:rFonts w:ascii="Times New Roman" w:hAnsi="Times New Roman"/>
          <w:sz w:val="22"/>
          <w:szCs w:val="22"/>
          <w:lang w:val="en-GB"/>
        </w:rPr>
        <w:t>al macroeconomic balances. They</w:t>
      </w:r>
      <w:r w:rsidRPr="008D3C1A">
        <w:rPr>
          <w:rFonts w:ascii="Times New Roman" w:hAnsi="Times New Roman"/>
          <w:sz w:val="22"/>
          <w:szCs w:val="22"/>
          <w:lang w:val="en-GB"/>
        </w:rPr>
        <w:t xml:space="preserve"> would not have been feasible without regulating capital inflows, managed flexibility of the exchange rate (see Williamson, 200</w:t>
      </w:r>
      <w:r w:rsidR="006831F0" w:rsidRPr="008D3C1A">
        <w:rPr>
          <w:rFonts w:ascii="Times New Roman" w:hAnsi="Times New Roman"/>
          <w:sz w:val="22"/>
          <w:szCs w:val="22"/>
          <w:lang w:val="en-GB"/>
        </w:rPr>
        <w:t>3</w:t>
      </w:r>
      <w:r w:rsidRPr="008D3C1A">
        <w:rPr>
          <w:rFonts w:ascii="Times New Roman" w:hAnsi="Times New Roman"/>
          <w:sz w:val="22"/>
          <w:szCs w:val="22"/>
          <w:lang w:val="en-GB"/>
        </w:rPr>
        <w:t>) and pursuing an active monetary policy.</w:t>
      </w:r>
      <w:r w:rsidRPr="008D3C1A">
        <w:rPr>
          <w:rStyle w:val="Refdenotaalpie"/>
          <w:rFonts w:ascii="Times New Roman" w:hAnsi="Times New Roman"/>
          <w:sz w:val="22"/>
          <w:szCs w:val="22"/>
          <w:lang w:val="en-GB"/>
        </w:rPr>
        <w:footnoteReference w:id="13"/>
      </w:r>
      <w:r w:rsidRPr="008D3C1A">
        <w:rPr>
          <w:rFonts w:ascii="Times New Roman" w:hAnsi="Times New Roman"/>
          <w:sz w:val="22"/>
          <w:szCs w:val="22"/>
          <w:lang w:val="en-GB"/>
        </w:rPr>
        <w:t xml:space="preserve"> Strategic features of the policies used were in frontal contrast with the mainstream fashion of full capital account liberali</w:t>
      </w:r>
      <w:r w:rsidR="00EA5066" w:rsidRPr="008D3C1A">
        <w:rPr>
          <w:rFonts w:ascii="Times New Roman" w:hAnsi="Times New Roman"/>
          <w:sz w:val="22"/>
          <w:szCs w:val="22"/>
          <w:lang w:val="en-GB"/>
        </w:rPr>
        <w:t>s</w:t>
      </w:r>
      <w:r w:rsidRPr="008D3C1A">
        <w:rPr>
          <w:rFonts w:ascii="Times New Roman" w:hAnsi="Times New Roman"/>
          <w:sz w:val="22"/>
          <w:szCs w:val="22"/>
          <w:lang w:val="en-GB"/>
        </w:rPr>
        <w:t>ation and fully free or fully peg</w:t>
      </w:r>
      <w:r w:rsidR="00E247DD" w:rsidRPr="008D3C1A">
        <w:rPr>
          <w:rFonts w:ascii="Times New Roman" w:hAnsi="Times New Roman"/>
          <w:sz w:val="22"/>
          <w:szCs w:val="22"/>
          <w:lang w:val="en-GB"/>
        </w:rPr>
        <w:t>ged</w:t>
      </w:r>
      <w:r w:rsidRPr="008D3C1A">
        <w:rPr>
          <w:rFonts w:ascii="Times New Roman" w:hAnsi="Times New Roman"/>
          <w:sz w:val="22"/>
          <w:szCs w:val="22"/>
          <w:lang w:val="en-GB"/>
        </w:rPr>
        <w:t xml:space="preserve"> exchange rate policy.</w:t>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t>When the Mexican exchange rate crisis exploded</w:t>
      </w:r>
      <w:r w:rsidR="00F85DF4">
        <w:rPr>
          <w:rFonts w:ascii="Times New Roman" w:hAnsi="Times New Roman"/>
          <w:sz w:val="22"/>
          <w:szCs w:val="22"/>
          <w:lang w:val="en-GB"/>
        </w:rPr>
        <w:t xml:space="preserve"> in 1995</w:t>
      </w:r>
      <w:r w:rsidRPr="008D3C1A">
        <w:rPr>
          <w:rFonts w:ascii="Times New Roman" w:hAnsi="Times New Roman"/>
          <w:sz w:val="22"/>
          <w:szCs w:val="22"/>
          <w:lang w:val="en-GB"/>
        </w:rPr>
        <w:t>, the Chilean economy proved immune to contagion</w:t>
      </w:r>
      <w:r w:rsidR="00F85DF4">
        <w:rPr>
          <w:rFonts w:ascii="Times New Roman" w:hAnsi="Times New Roman"/>
          <w:sz w:val="22"/>
          <w:szCs w:val="22"/>
          <w:lang w:val="en-GB"/>
        </w:rPr>
        <w:t xml:space="preserve"> with a </w:t>
      </w:r>
      <w:r w:rsidR="00610291">
        <w:rPr>
          <w:rFonts w:ascii="Times New Roman" w:hAnsi="Times New Roman"/>
          <w:sz w:val="22"/>
          <w:szCs w:val="22"/>
          <w:lang w:val="en-GB"/>
        </w:rPr>
        <w:t>vigorous growth</w:t>
      </w:r>
      <w:r w:rsidR="00F85DF4">
        <w:rPr>
          <w:rFonts w:ascii="Times New Roman" w:hAnsi="Times New Roman"/>
          <w:sz w:val="22"/>
          <w:szCs w:val="22"/>
          <w:lang w:val="en-GB"/>
        </w:rPr>
        <w:t xml:space="preserve"> in that year</w:t>
      </w:r>
      <w:r w:rsidRPr="008D3C1A">
        <w:rPr>
          <w:rFonts w:ascii="Times New Roman" w:hAnsi="Times New Roman"/>
          <w:sz w:val="22"/>
          <w:szCs w:val="22"/>
          <w:lang w:val="en-GB"/>
        </w:rPr>
        <w:t>. In 1990</w:t>
      </w:r>
      <w:r w:rsidR="00FF0AA7" w:rsidRPr="008D3C1A">
        <w:rPr>
          <w:rFonts w:ascii="Times New Roman" w:hAnsi="Times New Roman"/>
          <w:sz w:val="22"/>
          <w:szCs w:val="22"/>
          <w:lang w:val="en-GB"/>
        </w:rPr>
        <w:t>–</w:t>
      </w:r>
      <w:r w:rsidRPr="008D3C1A">
        <w:rPr>
          <w:rFonts w:ascii="Times New Roman" w:hAnsi="Times New Roman"/>
          <w:sz w:val="22"/>
          <w:szCs w:val="22"/>
          <w:lang w:val="en-GB"/>
        </w:rPr>
        <w:t xml:space="preserve">95, </w:t>
      </w:r>
      <w:r w:rsidR="00F85DF4">
        <w:rPr>
          <w:rFonts w:ascii="Times New Roman" w:hAnsi="Times New Roman"/>
          <w:sz w:val="22"/>
          <w:szCs w:val="22"/>
          <w:lang w:val="en-GB"/>
        </w:rPr>
        <w:t xml:space="preserve">average </w:t>
      </w:r>
      <w:r w:rsidRPr="008D3C1A">
        <w:rPr>
          <w:rFonts w:ascii="Times New Roman" w:hAnsi="Times New Roman"/>
          <w:sz w:val="22"/>
          <w:szCs w:val="22"/>
          <w:lang w:val="en-GB"/>
        </w:rPr>
        <w:t>GDP growth peaked at 7.</w:t>
      </w:r>
      <w:r w:rsidR="00F85DF4">
        <w:rPr>
          <w:rFonts w:ascii="Times New Roman" w:hAnsi="Times New Roman"/>
          <w:sz w:val="22"/>
          <w:szCs w:val="22"/>
          <w:lang w:val="en-GB"/>
        </w:rPr>
        <w:t>9</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with some improvement in income distribution (see table 1</w:t>
      </w:r>
      <w:r w:rsidR="00681031" w:rsidRPr="008D3C1A">
        <w:rPr>
          <w:rFonts w:ascii="Times New Roman" w:hAnsi="Times New Roman"/>
          <w:sz w:val="22"/>
          <w:szCs w:val="22"/>
          <w:lang w:val="en-GB"/>
        </w:rPr>
        <w:t>, above</w:t>
      </w:r>
      <w:r w:rsidRPr="008D3C1A">
        <w:rPr>
          <w:rFonts w:ascii="Times New Roman" w:hAnsi="Times New Roman"/>
          <w:sz w:val="22"/>
          <w:szCs w:val="22"/>
          <w:lang w:val="en-GB"/>
        </w:rPr>
        <w:t xml:space="preserve">) and a sharp drop in poverty. The producers of GDP </w:t>
      </w:r>
      <w:r w:rsidR="00F85DF4">
        <w:rPr>
          <w:rFonts w:ascii="Times New Roman" w:hAnsi="Times New Roman"/>
          <w:sz w:val="22"/>
          <w:szCs w:val="22"/>
          <w:lang w:val="en-GB"/>
        </w:rPr>
        <w:t>--</w:t>
      </w:r>
      <w:r w:rsidRPr="008D3C1A">
        <w:rPr>
          <w:rFonts w:ascii="Times New Roman" w:hAnsi="Times New Roman"/>
          <w:sz w:val="22"/>
          <w:szCs w:val="22"/>
          <w:lang w:val="en-GB"/>
        </w:rPr>
        <w:t>labo</w:t>
      </w:r>
      <w:r w:rsidR="00EA5066" w:rsidRPr="008D3C1A">
        <w:rPr>
          <w:rFonts w:ascii="Times New Roman" w:hAnsi="Times New Roman"/>
          <w:sz w:val="22"/>
          <w:szCs w:val="22"/>
          <w:lang w:val="en-GB"/>
        </w:rPr>
        <w:t>ur</w:t>
      </w:r>
      <w:r w:rsidRPr="008D3C1A">
        <w:rPr>
          <w:rFonts w:ascii="Times New Roman" w:hAnsi="Times New Roman"/>
          <w:sz w:val="22"/>
          <w:szCs w:val="22"/>
          <w:lang w:val="en-GB"/>
        </w:rPr>
        <w:t xml:space="preserve"> and capital, the real economy</w:t>
      </w:r>
      <w:r w:rsidR="00F85DF4">
        <w:rPr>
          <w:rFonts w:ascii="Times New Roman" w:hAnsi="Times New Roman"/>
          <w:sz w:val="22"/>
          <w:szCs w:val="22"/>
          <w:lang w:val="en-GB"/>
        </w:rPr>
        <w:t>--</w:t>
      </w:r>
      <w:r w:rsidRPr="008D3C1A">
        <w:rPr>
          <w:rFonts w:ascii="Times New Roman" w:hAnsi="Times New Roman"/>
          <w:sz w:val="22"/>
          <w:szCs w:val="22"/>
          <w:lang w:val="en-GB"/>
        </w:rPr>
        <w:t xml:space="preserve"> benefited from comprehensive real macroeconomic stability. </w:t>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lastRenderedPageBreak/>
        <w:t xml:space="preserve">One main merit of </w:t>
      </w:r>
      <w:r w:rsidR="00E80E43" w:rsidRPr="008D3C1A">
        <w:rPr>
          <w:rFonts w:ascii="Times New Roman" w:hAnsi="Times New Roman"/>
          <w:sz w:val="22"/>
          <w:szCs w:val="22"/>
          <w:lang w:val="en-GB"/>
        </w:rPr>
        <w:t xml:space="preserve">the </w:t>
      </w:r>
      <w:r w:rsidRPr="008D3C1A">
        <w:rPr>
          <w:rFonts w:ascii="Times New Roman" w:hAnsi="Times New Roman"/>
          <w:sz w:val="22"/>
          <w:szCs w:val="22"/>
          <w:lang w:val="en-GB"/>
        </w:rPr>
        <w:t xml:space="preserve">policies </w:t>
      </w:r>
      <w:r w:rsidR="00E80E43" w:rsidRPr="008D3C1A">
        <w:rPr>
          <w:rFonts w:ascii="Times New Roman" w:hAnsi="Times New Roman"/>
          <w:sz w:val="22"/>
          <w:szCs w:val="22"/>
          <w:lang w:val="en-GB"/>
        </w:rPr>
        <w:t xml:space="preserve">during </w:t>
      </w:r>
      <w:r w:rsidRPr="008D3C1A">
        <w:rPr>
          <w:rFonts w:ascii="Times New Roman" w:hAnsi="Times New Roman"/>
          <w:sz w:val="22"/>
          <w:szCs w:val="22"/>
          <w:lang w:val="en-GB"/>
        </w:rPr>
        <w:t>1990</w:t>
      </w:r>
      <w:r w:rsidR="00FF0AA7" w:rsidRPr="008D3C1A">
        <w:rPr>
          <w:rFonts w:ascii="Times New Roman" w:hAnsi="Times New Roman"/>
          <w:sz w:val="22"/>
          <w:szCs w:val="22"/>
          <w:lang w:val="en-GB"/>
        </w:rPr>
        <w:t>–</w:t>
      </w:r>
      <w:r w:rsidRPr="008D3C1A">
        <w:rPr>
          <w:rFonts w:ascii="Times New Roman" w:hAnsi="Times New Roman"/>
          <w:sz w:val="22"/>
          <w:szCs w:val="22"/>
          <w:lang w:val="en-GB"/>
        </w:rPr>
        <w:t xml:space="preserve">95 </w:t>
      </w:r>
      <w:r w:rsidR="00E80E43" w:rsidRPr="008D3C1A">
        <w:rPr>
          <w:rFonts w:ascii="Times New Roman" w:hAnsi="Times New Roman"/>
          <w:sz w:val="22"/>
          <w:szCs w:val="22"/>
          <w:lang w:val="en-GB"/>
        </w:rPr>
        <w:t>is</w:t>
      </w:r>
      <w:r w:rsidRPr="008D3C1A">
        <w:rPr>
          <w:rFonts w:ascii="Times New Roman" w:hAnsi="Times New Roman"/>
          <w:sz w:val="22"/>
          <w:szCs w:val="22"/>
          <w:lang w:val="en-GB"/>
        </w:rPr>
        <w:t xml:space="preserve"> that </w:t>
      </w:r>
      <w:r w:rsidR="004C315B" w:rsidRPr="008D3C1A">
        <w:rPr>
          <w:rFonts w:ascii="Times New Roman" w:hAnsi="Times New Roman"/>
          <w:sz w:val="22"/>
          <w:szCs w:val="22"/>
          <w:lang w:val="en-GB"/>
        </w:rPr>
        <w:t>Chile</w:t>
      </w:r>
      <w:r w:rsidRPr="008D3C1A">
        <w:rPr>
          <w:rFonts w:ascii="Times New Roman" w:hAnsi="Times New Roman"/>
          <w:sz w:val="22"/>
          <w:szCs w:val="22"/>
          <w:lang w:val="en-GB"/>
        </w:rPr>
        <w:t xml:space="preserve"> successfully </w:t>
      </w:r>
      <w:r w:rsidR="00E80E43" w:rsidRPr="008D3C1A">
        <w:rPr>
          <w:rFonts w:ascii="Times New Roman" w:hAnsi="Times New Roman"/>
          <w:sz w:val="22"/>
          <w:szCs w:val="22"/>
          <w:lang w:val="en-GB"/>
        </w:rPr>
        <w:t xml:space="preserve">resisted </w:t>
      </w:r>
      <w:r w:rsidR="00503C16" w:rsidRPr="008D3C1A">
        <w:rPr>
          <w:rFonts w:ascii="Times New Roman" w:hAnsi="Times New Roman"/>
          <w:sz w:val="22"/>
          <w:szCs w:val="22"/>
          <w:lang w:val="en-GB"/>
        </w:rPr>
        <w:t xml:space="preserve">pressures of </w:t>
      </w:r>
      <w:r w:rsidR="004C315B" w:rsidRPr="008D3C1A">
        <w:rPr>
          <w:rFonts w:ascii="Times New Roman" w:hAnsi="Times New Roman"/>
          <w:sz w:val="22"/>
          <w:szCs w:val="22"/>
          <w:lang w:val="en-GB"/>
        </w:rPr>
        <w:t xml:space="preserve">the </w:t>
      </w:r>
      <w:r w:rsidR="00503C16" w:rsidRPr="008D3C1A">
        <w:rPr>
          <w:rFonts w:ascii="Times New Roman" w:hAnsi="Times New Roman"/>
          <w:sz w:val="22"/>
          <w:szCs w:val="22"/>
          <w:lang w:val="en-GB"/>
        </w:rPr>
        <w:t>fashion in US academia and IFIs</w:t>
      </w:r>
      <w:r w:rsidR="00E80E43" w:rsidRPr="008D3C1A">
        <w:rPr>
          <w:rFonts w:ascii="Times New Roman" w:hAnsi="Times New Roman"/>
          <w:sz w:val="22"/>
          <w:szCs w:val="22"/>
          <w:lang w:val="en-GB"/>
        </w:rPr>
        <w:t>, as well as</w:t>
      </w:r>
      <w:r w:rsidRPr="008D3C1A">
        <w:rPr>
          <w:rFonts w:ascii="Times New Roman" w:hAnsi="Times New Roman"/>
          <w:sz w:val="22"/>
          <w:szCs w:val="22"/>
          <w:lang w:val="en-GB"/>
        </w:rPr>
        <w:t xml:space="preserve">the temptation </w:t>
      </w:r>
      <w:r w:rsidR="00E80E43" w:rsidRPr="008D3C1A">
        <w:rPr>
          <w:rFonts w:ascii="Times New Roman" w:hAnsi="Times New Roman"/>
          <w:sz w:val="22"/>
          <w:szCs w:val="22"/>
          <w:lang w:val="en-GB"/>
        </w:rPr>
        <w:t>to achieve</w:t>
      </w:r>
      <w:r w:rsidRPr="008D3C1A">
        <w:rPr>
          <w:rFonts w:ascii="Times New Roman" w:hAnsi="Times New Roman"/>
          <w:sz w:val="22"/>
          <w:szCs w:val="22"/>
          <w:lang w:val="en-GB"/>
        </w:rPr>
        <w:t xml:space="preserve"> a faster disinflation with an increased domestic absorption of capital inflows and at the expense of exchange rate appreciation and a larger external deficit. High productive investment was the main factor behind the outstanding </w:t>
      </w:r>
      <w:r w:rsidR="00593E9B" w:rsidRPr="008D3C1A">
        <w:rPr>
          <w:rFonts w:ascii="Times New Roman" w:hAnsi="Times New Roman"/>
          <w:sz w:val="22"/>
          <w:szCs w:val="22"/>
          <w:lang w:val="en-GB"/>
        </w:rPr>
        <w:t xml:space="preserve">sustained </w:t>
      </w:r>
      <w:r w:rsidRPr="008D3C1A">
        <w:rPr>
          <w:rFonts w:ascii="Times New Roman" w:hAnsi="Times New Roman"/>
          <w:sz w:val="22"/>
          <w:szCs w:val="22"/>
          <w:lang w:val="en-GB"/>
        </w:rPr>
        <w:t xml:space="preserve">GDP growth. As empirical studies </w:t>
      </w:r>
      <w:r w:rsidR="00E80E43" w:rsidRPr="008D3C1A">
        <w:rPr>
          <w:rFonts w:ascii="Times New Roman" w:hAnsi="Times New Roman"/>
          <w:sz w:val="22"/>
          <w:szCs w:val="22"/>
          <w:lang w:val="en-GB"/>
        </w:rPr>
        <w:t xml:space="preserve">robustly </w:t>
      </w:r>
      <w:r w:rsidRPr="008D3C1A">
        <w:rPr>
          <w:rFonts w:ascii="Times New Roman" w:hAnsi="Times New Roman"/>
          <w:sz w:val="22"/>
          <w:szCs w:val="22"/>
          <w:lang w:val="en-GB"/>
        </w:rPr>
        <w:t xml:space="preserve">show, </w:t>
      </w:r>
      <w:r w:rsidR="00E80E43" w:rsidRPr="008D3C1A">
        <w:rPr>
          <w:rFonts w:ascii="Times New Roman" w:hAnsi="Times New Roman"/>
          <w:sz w:val="22"/>
          <w:szCs w:val="22"/>
          <w:lang w:val="en-GB"/>
        </w:rPr>
        <w:t xml:space="preserve">given </w:t>
      </w:r>
      <w:r w:rsidR="006323F3">
        <w:rPr>
          <w:rFonts w:ascii="Times New Roman" w:hAnsi="Times New Roman"/>
          <w:sz w:val="22"/>
          <w:szCs w:val="22"/>
          <w:lang w:val="en-GB"/>
        </w:rPr>
        <w:t>the</w:t>
      </w:r>
      <w:r w:rsidR="00E80E43" w:rsidRPr="008D3C1A">
        <w:rPr>
          <w:rFonts w:ascii="Times New Roman" w:hAnsi="Times New Roman"/>
          <w:sz w:val="22"/>
          <w:szCs w:val="22"/>
          <w:lang w:val="en-GB"/>
        </w:rPr>
        <w:t xml:space="preserve"> irreversibility</w:t>
      </w:r>
      <w:r w:rsidR="006323F3">
        <w:rPr>
          <w:rFonts w:ascii="Times New Roman" w:hAnsi="Times New Roman"/>
          <w:sz w:val="22"/>
          <w:szCs w:val="22"/>
          <w:lang w:val="en-GB"/>
        </w:rPr>
        <w:t xml:space="preserve"> of</w:t>
      </w:r>
      <w:r w:rsidRPr="008D3C1A">
        <w:rPr>
          <w:rFonts w:ascii="Times New Roman" w:hAnsi="Times New Roman"/>
          <w:sz w:val="22"/>
          <w:szCs w:val="22"/>
          <w:lang w:val="en-GB"/>
        </w:rPr>
        <w:t xml:space="preserve">private investment </w:t>
      </w:r>
      <w:r w:rsidR="006323F3">
        <w:rPr>
          <w:rFonts w:ascii="Times New Roman" w:hAnsi="Times New Roman"/>
          <w:sz w:val="22"/>
          <w:szCs w:val="22"/>
          <w:lang w:val="en-GB"/>
        </w:rPr>
        <w:t xml:space="preserve">it </w:t>
      </w:r>
      <w:r w:rsidRPr="008D3C1A">
        <w:rPr>
          <w:rFonts w:ascii="Times New Roman" w:hAnsi="Times New Roman"/>
          <w:sz w:val="22"/>
          <w:szCs w:val="22"/>
          <w:lang w:val="en-GB"/>
        </w:rPr>
        <w:t>responds positively to real macroeconomic equilibria, whenever they appear to be sustainable</w:t>
      </w:r>
      <w:r w:rsidR="00CA3735" w:rsidRPr="008D3C1A">
        <w:rPr>
          <w:rFonts w:ascii="Times New Roman" w:hAnsi="Times New Roman"/>
          <w:sz w:val="22"/>
          <w:szCs w:val="22"/>
          <w:lang w:val="en-GB"/>
        </w:rPr>
        <w:t xml:space="preserve"> (Agosin, 1998)</w:t>
      </w:r>
      <w:r w:rsidRPr="008D3C1A">
        <w:rPr>
          <w:rFonts w:ascii="Times New Roman" w:hAnsi="Times New Roman"/>
          <w:sz w:val="22"/>
          <w:szCs w:val="22"/>
          <w:lang w:val="en-GB"/>
        </w:rPr>
        <w:t>. For real sustainability</w:t>
      </w:r>
      <w:r w:rsidR="00E80E43" w:rsidRPr="008D3C1A">
        <w:rPr>
          <w:rFonts w:ascii="Times New Roman" w:hAnsi="Times New Roman"/>
          <w:sz w:val="22"/>
          <w:szCs w:val="22"/>
          <w:lang w:val="en-GB"/>
        </w:rPr>
        <w:t>,</w:t>
      </w:r>
      <w:r w:rsidRPr="008D3C1A">
        <w:rPr>
          <w:rFonts w:ascii="Times New Roman" w:hAnsi="Times New Roman"/>
          <w:sz w:val="22"/>
          <w:szCs w:val="22"/>
          <w:lang w:val="en-GB"/>
        </w:rPr>
        <w:t xml:space="preserve"> it must fulfil two key conditions</w:t>
      </w:r>
      <w:r w:rsidR="00E80E43" w:rsidRPr="008D3C1A">
        <w:rPr>
          <w:rFonts w:ascii="Times New Roman" w:hAnsi="Times New Roman"/>
          <w:sz w:val="22"/>
          <w:szCs w:val="22"/>
          <w:lang w:val="en-GB"/>
        </w:rPr>
        <w:t>:first</w:t>
      </w:r>
      <w:r w:rsidRPr="008D3C1A">
        <w:rPr>
          <w:rFonts w:ascii="Times New Roman" w:hAnsi="Times New Roman"/>
          <w:sz w:val="22"/>
          <w:szCs w:val="22"/>
          <w:lang w:val="en-GB"/>
        </w:rPr>
        <w:t>, effective demand has to be consistent with the productive capacity being generated</w:t>
      </w:r>
      <w:r w:rsidR="00E80E43" w:rsidRPr="008D3C1A">
        <w:rPr>
          <w:rFonts w:ascii="Times New Roman" w:hAnsi="Times New Roman"/>
          <w:sz w:val="22"/>
          <w:szCs w:val="22"/>
          <w:lang w:val="en-GB"/>
        </w:rPr>
        <w:t xml:space="preserve">; </w:t>
      </w:r>
      <w:r w:rsidRPr="008D3C1A">
        <w:rPr>
          <w:rFonts w:ascii="Times New Roman" w:hAnsi="Times New Roman"/>
          <w:sz w:val="22"/>
          <w:szCs w:val="22"/>
          <w:lang w:val="en-GB"/>
        </w:rPr>
        <w:t xml:space="preserve">and, second, key macro-prices (particularly the exchange rate) must be consistent with a sustainable external balance (Ffrench-Davis, 2006). </w:t>
      </w:r>
      <w:r w:rsidR="00DD1691" w:rsidRPr="008D3C1A">
        <w:rPr>
          <w:rFonts w:ascii="Times New Roman" w:hAnsi="Times New Roman"/>
          <w:sz w:val="22"/>
          <w:szCs w:val="22"/>
          <w:lang w:val="en-GB"/>
        </w:rPr>
        <w:t>In the six</w:t>
      </w:r>
      <w:r w:rsidR="00EA5066" w:rsidRPr="008D3C1A">
        <w:rPr>
          <w:rFonts w:ascii="Times New Roman" w:hAnsi="Times New Roman"/>
          <w:sz w:val="22"/>
          <w:szCs w:val="22"/>
          <w:lang w:val="en-GB"/>
        </w:rPr>
        <w:t>-</w:t>
      </w:r>
      <w:r w:rsidR="00DD1691" w:rsidRPr="008D3C1A">
        <w:rPr>
          <w:rFonts w:ascii="Times New Roman" w:hAnsi="Times New Roman"/>
          <w:sz w:val="22"/>
          <w:szCs w:val="22"/>
          <w:lang w:val="en-GB"/>
        </w:rPr>
        <w:t>year period</w:t>
      </w:r>
      <w:r w:rsidR="00E80E43" w:rsidRPr="008D3C1A">
        <w:rPr>
          <w:rFonts w:ascii="Times New Roman" w:hAnsi="Times New Roman"/>
          <w:sz w:val="22"/>
          <w:szCs w:val="22"/>
          <w:lang w:val="en-GB"/>
        </w:rPr>
        <w:t xml:space="preserve"> from</w:t>
      </w:r>
      <w:r w:rsidR="00DD1691" w:rsidRPr="008D3C1A">
        <w:rPr>
          <w:rFonts w:ascii="Times New Roman" w:hAnsi="Times New Roman"/>
          <w:sz w:val="22"/>
          <w:szCs w:val="22"/>
          <w:lang w:val="en-GB"/>
        </w:rPr>
        <w:t xml:space="preserve"> 1990</w:t>
      </w:r>
      <w:r w:rsidR="00E80E43" w:rsidRPr="008D3C1A">
        <w:rPr>
          <w:rFonts w:ascii="Times New Roman" w:hAnsi="Times New Roman"/>
          <w:sz w:val="22"/>
          <w:szCs w:val="22"/>
          <w:lang w:val="en-GB"/>
        </w:rPr>
        <w:t xml:space="preserve"> to 19</w:t>
      </w:r>
      <w:r w:rsidR="00DD1691" w:rsidRPr="008D3C1A">
        <w:rPr>
          <w:rFonts w:ascii="Times New Roman" w:hAnsi="Times New Roman"/>
          <w:sz w:val="22"/>
          <w:szCs w:val="22"/>
          <w:lang w:val="en-GB"/>
        </w:rPr>
        <w:t xml:space="preserve">95, actual and potential GDP rose at similar rates, with the economy working close to the production frontier; </w:t>
      </w:r>
      <w:r w:rsidR="00E80E43" w:rsidRPr="008D3C1A">
        <w:rPr>
          <w:rFonts w:ascii="Times New Roman" w:hAnsi="Times New Roman"/>
          <w:sz w:val="22"/>
          <w:szCs w:val="22"/>
          <w:lang w:val="en-GB"/>
        </w:rPr>
        <w:t>namely,</w:t>
      </w:r>
      <w:r w:rsidR="00DD1691" w:rsidRPr="008D3C1A">
        <w:rPr>
          <w:rFonts w:ascii="Times New Roman" w:hAnsi="Times New Roman"/>
          <w:sz w:val="22"/>
          <w:szCs w:val="22"/>
          <w:lang w:val="en-GB"/>
        </w:rPr>
        <w:t xml:space="preserve"> with a minor output gap and a sustainable external balance. </w:t>
      </w:r>
      <w:r w:rsidR="00E80E43" w:rsidRPr="008D3C1A">
        <w:rPr>
          <w:rFonts w:ascii="Times New Roman" w:hAnsi="Times New Roman"/>
          <w:sz w:val="22"/>
          <w:szCs w:val="22"/>
          <w:lang w:val="en-GB"/>
        </w:rPr>
        <w:t>Indeed, these are c</w:t>
      </w:r>
      <w:r w:rsidR="00503C16" w:rsidRPr="008D3C1A">
        <w:rPr>
          <w:rFonts w:ascii="Times New Roman" w:hAnsi="Times New Roman"/>
          <w:sz w:val="22"/>
          <w:szCs w:val="22"/>
          <w:lang w:val="en-GB"/>
        </w:rPr>
        <w:t>rucial ingredients of real macroeconomic balances.</w:t>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t>However, macroeconomic policies lost their strength after 1995. Paradoxically,the autonomous Central Bank gradually moved toward</w:t>
      </w:r>
      <w:r w:rsidR="00E80E43" w:rsidRPr="008D3C1A">
        <w:rPr>
          <w:rFonts w:ascii="Times New Roman" w:hAnsi="Times New Roman"/>
          <w:sz w:val="22"/>
          <w:szCs w:val="22"/>
          <w:lang w:val="en-GB"/>
        </w:rPr>
        <w:t>s</w:t>
      </w:r>
      <w:r w:rsidRPr="008D3C1A">
        <w:rPr>
          <w:rFonts w:ascii="Times New Roman" w:hAnsi="Times New Roman"/>
          <w:sz w:val="22"/>
          <w:szCs w:val="22"/>
          <w:lang w:val="en-GB"/>
        </w:rPr>
        <w:t xml:space="preserve"> the neo-liberal fashion of capital account and exchange rate liberali</w:t>
      </w:r>
      <w:r w:rsidR="00EA5066" w:rsidRPr="008D3C1A">
        <w:rPr>
          <w:rFonts w:ascii="Times New Roman" w:hAnsi="Times New Roman"/>
          <w:sz w:val="22"/>
          <w:szCs w:val="22"/>
          <w:lang w:val="en-GB"/>
        </w:rPr>
        <w:t>s</w:t>
      </w:r>
      <w:r w:rsidRPr="008D3C1A">
        <w:rPr>
          <w:rFonts w:ascii="Times New Roman" w:hAnsi="Times New Roman"/>
          <w:sz w:val="22"/>
          <w:szCs w:val="22"/>
          <w:lang w:val="en-GB"/>
        </w:rPr>
        <w:t>ation. In 1996</w:t>
      </w:r>
      <w:r w:rsidR="00FF0AA7" w:rsidRPr="008D3C1A">
        <w:rPr>
          <w:rFonts w:ascii="Times New Roman" w:hAnsi="Times New Roman"/>
          <w:sz w:val="22"/>
          <w:szCs w:val="22"/>
          <w:lang w:val="en-GB"/>
        </w:rPr>
        <w:t>–</w:t>
      </w:r>
      <w:r w:rsidRPr="008D3C1A">
        <w:rPr>
          <w:rFonts w:ascii="Times New Roman" w:hAnsi="Times New Roman"/>
          <w:sz w:val="22"/>
          <w:szCs w:val="22"/>
          <w:lang w:val="en-GB"/>
        </w:rPr>
        <w:t xml:space="preserve">98, Chile did </w:t>
      </w:r>
      <w:r w:rsidR="00E80E43" w:rsidRPr="008D3C1A">
        <w:rPr>
          <w:rFonts w:ascii="Times New Roman" w:hAnsi="Times New Roman"/>
          <w:sz w:val="22"/>
          <w:szCs w:val="22"/>
          <w:lang w:val="en-GB"/>
        </w:rPr>
        <w:t>partially bend towards</w:t>
      </w:r>
      <w:r w:rsidRPr="008D3C1A">
        <w:rPr>
          <w:rFonts w:ascii="Times New Roman" w:hAnsi="Times New Roman"/>
          <w:sz w:val="22"/>
          <w:szCs w:val="22"/>
          <w:lang w:val="en-GB"/>
        </w:rPr>
        <w:t xml:space="preserve"> the powerful international fashion </w:t>
      </w:r>
      <w:r w:rsidR="00E80E43" w:rsidRPr="008D3C1A">
        <w:rPr>
          <w:rFonts w:ascii="Times New Roman" w:hAnsi="Times New Roman"/>
          <w:sz w:val="22"/>
          <w:szCs w:val="22"/>
          <w:lang w:val="en-GB"/>
        </w:rPr>
        <w:t xml:space="preserve">of </w:t>
      </w:r>
      <w:r w:rsidRPr="008D3C1A">
        <w:rPr>
          <w:rFonts w:ascii="Times New Roman" w:hAnsi="Times New Roman"/>
          <w:sz w:val="22"/>
          <w:szCs w:val="22"/>
          <w:lang w:val="en-GB"/>
        </w:rPr>
        <w:t>promoting capital account</w:t>
      </w:r>
      <w:r w:rsidR="00593E9B" w:rsidRPr="008D3C1A">
        <w:rPr>
          <w:rFonts w:ascii="Times New Roman" w:hAnsi="Times New Roman"/>
          <w:sz w:val="22"/>
          <w:szCs w:val="22"/>
          <w:lang w:val="en-GB"/>
        </w:rPr>
        <w:t xml:space="preserve"> liberali</w:t>
      </w:r>
      <w:r w:rsidR="00EA5066" w:rsidRPr="008D3C1A">
        <w:rPr>
          <w:rFonts w:ascii="Times New Roman" w:hAnsi="Times New Roman"/>
          <w:sz w:val="22"/>
          <w:szCs w:val="22"/>
          <w:lang w:val="en-GB"/>
        </w:rPr>
        <w:t>s</w:t>
      </w:r>
      <w:r w:rsidR="00593E9B" w:rsidRPr="008D3C1A">
        <w:rPr>
          <w:rFonts w:ascii="Times New Roman" w:hAnsi="Times New Roman"/>
          <w:sz w:val="22"/>
          <w:szCs w:val="22"/>
          <w:lang w:val="en-GB"/>
        </w:rPr>
        <w:t>ation</w:t>
      </w:r>
      <w:r w:rsidRPr="008D3C1A">
        <w:rPr>
          <w:rFonts w:ascii="Times New Roman" w:hAnsi="Times New Roman"/>
          <w:sz w:val="22"/>
          <w:szCs w:val="22"/>
          <w:lang w:val="en-GB"/>
        </w:rPr>
        <w:t xml:space="preserve">, allowing a real appreciation of the peso and imbalances </w:t>
      </w:r>
      <w:r w:rsidR="00342689" w:rsidRPr="008D3C1A">
        <w:rPr>
          <w:rFonts w:ascii="Times New Roman" w:hAnsi="Times New Roman"/>
          <w:sz w:val="22"/>
          <w:szCs w:val="22"/>
          <w:lang w:val="en-GB"/>
        </w:rPr>
        <w:t xml:space="preserve">such as </w:t>
      </w:r>
      <w:r w:rsidRPr="008D3C1A">
        <w:rPr>
          <w:rFonts w:ascii="Times New Roman" w:hAnsi="Times New Roman"/>
          <w:sz w:val="22"/>
          <w:szCs w:val="22"/>
          <w:lang w:val="en-GB"/>
        </w:rPr>
        <w:t>in the external accounts</w:t>
      </w:r>
      <w:r w:rsidR="00342689" w:rsidRPr="008D3C1A">
        <w:rPr>
          <w:rFonts w:ascii="Times New Roman" w:hAnsi="Times New Roman"/>
          <w:sz w:val="22"/>
          <w:szCs w:val="22"/>
          <w:lang w:val="en-GB"/>
        </w:rPr>
        <w:t xml:space="preserve"> and a domestic aggregate demand growingly intensive in imported components</w:t>
      </w:r>
      <w:r w:rsidRPr="008D3C1A">
        <w:rPr>
          <w:rFonts w:ascii="Times New Roman" w:hAnsi="Times New Roman"/>
          <w:sz w:val="22"/>
          <w:szCs w:val="22"/>
          <w:lang w:val="en-GB"/>
        </w:rPr>
        <w:t xml:space="preserve">. </w:t>
      </w:r>
      <w:r w:rsidR="00E80E43" w:rsidRPr="008D3C1A">
        <w:rPr>
          <w:rFonts w:ascii="Times New Roman" w:hAnsi="Times New Roman"/>
          <w:sz w:val="22"/>
          <w:szCs w:val="22"/>
          <w:lang w:val="en-GB"/>
        </w:rPr>
        <w:t xml:space="preserve">This </w:t>
      </w:r>
      <w:r w:rsidRPr="008D3C1A">
        <w:rPr>
          <w:rFonts w:ascii="Times New Roman" w:hAnsi="Times New Roman"/>
          <w:sz w:val="22"/>
          <w:szCs w:val="22"/>
          <w:lang w:val="en-GB"/>
        </w:rPr>
        <w:t xml:space="preserve">fashion was generally in command in emerging economies, pressed by the US government, the IMF and World Bank, the OECD and </w:t>
      </w:r>
      <w:r w:rsidR="00593E9B" w:rsidRPr="008D3C1A">
        <w:rPr>
          <w:rFonts w:ascii="Times New Roman" w:hAnsi="Times New Roman"/>
          <w:sz w:val="22"/>
          <w:szCs w:val="22"/>
          <w:lang w:val="en-GB"/>
        </w:rPr>
        <w:t xml:space="preserve">generally in the </w:t>
      </w:r>
      <w:r w:rsidR="00DC4B94" w:rsidRPr="008D3C1A">
        <w:rPr>
          <w:rFonts w:ascii="Times New Roman" w:hAnsi="Times New Roman"/>
          <w:sz w:val="22"/>
          <w:szCs w:val="22"/>
          <w:lang w:val="en-GB"/>
        </w:rPr>
        <w:t>Anglo-Saxon</w:t>
      </w:r>
      <w:r w:rsidRPr="008D3C1A">
        <w:rPr>
          <w:rFonts w:ascii="Times New Roman" w:hAnsi="Times New Roman"/>
          <w:sz w:val="22"/>
          <w:szCs w:val="22"/>
          <w:lang w:val="en-GB"/>
        </w:rPr>
        <w:t xml:space="preserve"> academic world. </w:t>
      </w:r>
      <w:r w:rsidR="00E80E43" w:rsidRPr="008D3C1A">
        <w:rPr>
          <w:rFonts w:ascii="Times New Roman" w:hAnsi="Times New Roman"/>
          <w:sz w:val="22"/>
          <w:szCs w:val="22"/>
          <w:lang w:val="en-GB"/>
        </w:rPr>
        <w:t>It</w:t>
      </w:r>
      <w:r w:rsidRPr="008D3C1A">
        <w:rPr>
          <w:rFonts w:ascii="Times New Roman" w:hAnsi="Times New Roman"/>
          <w:sz w:val="22"/>
          <w:szCs w:val="22"/>
          <w:lang w:val="en-GB"/>
        </w:rPr>
        <w:t xml:space="preserve"> had been reinforced under the belief that the management of the tequila crisis had shown that the world had learnt to control financial crisis;</w:t>
      </w:r>
      <w:r w:rsidR="00E80E43" w:rsidRPr="008D3C1A">
        <w:rPr>
          <w:rFonts w:ascii="Times New Roman" w:hAnsi="Times New Roman"/>
          <w:sz w:val="22"/>
          <w:szCs w:val="22"/>
          <w:lang w:val="en-GB"/>
        </w:rPr>
        <w:t xml:space="preserve"> indeed,</w:t>
      </w:r>
      <w:r w:rsidRPr="008D3C1A">
        <w:rPr>
          <w:rFonts w:ascii="Times New Roman" w:hAnsi="Times New Roman"/>
          <w:sz w:val="22"/>
          <w:szCs w:val="22"/>
          <w:lang w:val="en-GB"/>
        </w:rPr>
        <w:t xml:space="preserve"> such over-optimism was </w:t>
      </w:r>
      <w:r w:rsidR="00E80E43" w:rsidRPr="008D3C1A">
        <w:rPr>
          <w:rFonts w:ascii="Times New Roman" w:hAnsi="Times New Roman"/>
          <w:sz w:val="22"/>
          <w:szCs w:val="22"/>
          <w:lang w:val="en-GB"/>
        </w:rPr>
        <w:t>also absorbed</w:t>
      </w:r>
      <w:r w:rsidRPr="008D3C1A">
        <w:rPr>
          <w:rFonts w:ascii="Times New Roman" w:hAnsi="Times New Roman"/>
          <w:sz w:val="22"/>
          <w:szCs w:val="22"/>
          <w:lang w:val="en-GB"/>
        </w:rPr>
        <w:t xml:space="preserve"> domestically by business leaders and some public authorities. </w:t>
      </w:r>
      <w:r w:rsidR="003F7D10" w:rsidRPr="008D3C1A">
        <w:rPr>
          <w:rFonts w:ascii="Times New Roman" w:hAnsi="Times New Roman"/>
          <w:sz w:val="22"/>
          <w:szCs w:val="22"/>
          <w:lang w:val="en-GB"/>
        </w:rPr>
        <w:t xml:space="preserve">The weakening of the counter-cyclical approach took the form of principally allowing leakages to the </w:t>
      </w:r>
      <w:r w:rsidR="003F7D10" w:rsidRPr="008D3C1A">
        <w:rPr>
          <w:rFonts w:ascii="Times New Roman" w:hAnsi="Times New Roman"/>
          <w:i/>
          <w:sz w:val="22"/>
          <w:szCs w:val="22"/>
          <w:lang w:val="en-GB"/>
        </w:rPr>
        <w:t>encaje</w:t>
      </w:r>
      <w:r w:rsidR="003F7D10" w:rsidRPr="008D3C1A">
        <w:rPr>
          <w:rFonts w:ascii="Times New Roman" w:hAnsi="Times New Roman"/>
          <w:sz w:val="22"/>
          <w:szCs w:val="22"/>
          <w:lang w:val="en-GB"/>
        </w:rPr>
        <w:t xml:space="preserve"> and stepping-back in the managed flexibility of the exchange rate.</w:t>
      </w:r>
    </w:p>
    <w:p w:rsidR="00375161" w:rsidRPr="008D3C1A" w:rsidRDefault="00375161" w:rsidP="004E552D">
      <w:pPr>
        <w:pStyle w:val="Sangra2detindependiente"/>
        <w:spacing w:after="120" w:line="360" w:lineRule="auto"/>
        <w:ind w:left="0" w:firstLine="709"/>
        <w:rPr>
          <w:rFonts w:ascii="Times New Roman" w:hAnsi="Times New Roman"/>
          <w:sz w:val="22"/>
          <w:szCs w:val="22"/>
          <w:lang w:val="en-GB"/>
        </w:rPr>
      </w:pPr>
      <w:r w:rsidRPr="008D3C1A">
        <w:rPr>
          <w:rFonts w:ascii="Times New Roman" w:hAnsi="Times New Roman"/>
          <w:sz w:val="22"/>
          <w:szCs w:val="22"/>
          <w:lang w:val="en-GB"/>
        </w:rPr>
        <w:t xml:space="preserve">Therefore, when the Asian crisis contagion reached Chile in 1998, the economy had accumulated </w:t>
      </w:r>
      <w:r w:rsidR="00593E9B" w:rsidRPr="008D3C1A">
        <w:rPr>
          <w:rFonts w:ascii="Times New Roman" w:hAnsi="Times New Roman"/>
          <w:sz w:val="22"/>
          <w:szCs w:val="22"/>
          <w:lang w:val="en-GB"/>
        </w:rPr>
        <w:t xml:space="preserve">rather </w:t>
      </w:r>
      <w:r w:rsidRPr="008D3C1A">
        <w:rPr>
          <w:rFonts w:ascii="Times New Roman" w:hAnsi="Times New Roman"/>
          <w:sz w:val="22"/>
          <w:szCs w:val="22"/>
          <w:lang w:val="en-GB"/>
        </w:rPr>
        <w:t>significant imbalances</w:t>
      </w:r>
      <w:r w:rsidR="00E80E43" w:rsidRPr="008D3C1A">
        <w:rPr>
          <w:rFonts w:ascii="Times New Roman" w:hAnsi="Times New Roman"/>
          <w:sz w:val="22"/>
          <w:szCs w:val="22"/>
          <w:lang w:val="en-GB"/>
        </w:rPr>
        <w:t>, whereby</w:t>
      </w:r>
      <w:r w:rsidRPr="008D3C1A">
        <w:rPr>
          <w:rFonts w:ascii="Times New Roman" w:hAnsi="Times New Roman"/>
          <w:sz w:val="22"/>
          <w:szCs w:val="22"/>
          <w:lang w:val="en-GB"/>
        </w:rPr>
        <w:t xml:space="preserve"> the real exchange rate appreciated </w:t>
      </w:r>
      <w:r w:rsidR="00E80E43" w:rsidRPr="008D3C1A">
        <w:rPr>
          <w:rFonts w:ascii="Times New Roman" w:hAnsi="Times New Roman"/>
          <w:sz w:val="22"/>
          <w:szCs w:val="22"/>
          <w:lang w:val="en-GB"/>
        </w:rPr>
        <w:t xml:space="preserve">by </w:t>
      </w:r>
      <w:r w:rsidRPr="008D3C1A">
        <w:rPr>
          <w:rFonts w:ascii="Times New Roman" w:hAnsi="Times New Roman"/>
          <w:sz w:val="22"/>
          <w:szCs w:val="22"/>
          <w:lang w:val="en-GB"/>
        </w:rPr>
        <w:t>16</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between 1995 and 1997 and the current account deficit jumped to 4.8</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of GDP in 1996</w:t>
      </w:r>
      <w:r w:rsidR="00FF0AA7" w:rsidRPr="008D3C1A">
        <w:rPr>
          <w:rFonts w:ascii="Times New Roman" w:hAnsi="Times New Roman"/>
          <w:sz w:val="22"/>
          <w:szCs w:val="22"/>
          <w:lang w:val="en-GB"/>
        </w:rPr>
        <w:t>–</w:t>
      </w:r>
      <w:r w:rsidRPr="008D3C1A">
        <w:rPr>
          <w:rFonts w:ascii="Times New Roman" w:hAnsi="Times New Roman"/>
          <w:sz w:val="22"/>
          <w:szCs w:val="22"/>
          <w:lang w:val="en-GB"/>
        </w:rPr>
        <w:t xml:space="preserve">97, </w:t>
      </w:r>
      <w:r w:rsidR="00593E9B" w:rsidRPr="008D3C1A">
        <w:rPr>
          <w:rFonts w:ascii="Times New Roman" w:hAnsi="Times New Roman"/>
          <w:sz w:val="22"/>
          <w:szCs w:val="22"/>
          <w:lang w:val="en-GB"/>
        </w:rPr>
        <w:t>versus</w:t>
      </w:r>
      <w:r w:rsidRPr="008D3C1A">
        <w:rPr>
          <w:rFonts w:ascii="Times New Roman" w:hAnsi="Times New Roman"/>
          <w:sz w:val="22"/>
          <w:szCs w:val="22"/>
          <w:lang w:val="en-GB"/>
        </w:rPr>
        <w:t xml:space="preserve"> 2.3</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in 1990</w:t>
      </w:r>
      <w:r w:rsidR="00FF0AA7" w:rsidRPr="008D3C1A">
        <w:rPr>
          <w:rFonts w:ascii="Times New Roman" w:hAnsi="Times New Roman"/>
          <w:sz w:val="22"/>
          <w:szCs w:val="22"/>
          <w:lang w:val="en-GB"/>
        </w:rPr>
        <w:t>–</w:t>
      </w:r>
      <w:r w:rsidRPr="008D3C1A">
        <w:rPr>
          <w:rFonts w:ascii="Times New Roman" w:hAnsi="Times New Roman"/>
          <w:sz w:val="22"/>
          <w:szCs w:val="22"/>
          <w:lang w:val="en-GB"/>
        </w:rPr>
        <w:t xml:space="preserve">95, which </w:t>
      </w:r>
      <w:r w:rsidR="00E80E43" w:rsidRPr="008D3C1A">
        <w:rPr>
          <w:rFonts w:ascii="Times New Roman" w:hAnsi="Times New Roman"/>
          <w:sz w:val="22"/>
          <w:szCs w:val="22"/>
          <w:lang w:val="en-GB"/>
        </w:rPr>
        <w:t xml:space="preserve">further </w:t>
      </w:r>
      <w:r w:rsidRPr="008D3C1A">
        <w:rPr>
          <w:rFonts w:ascii="Times New Roman" w:hAnsi="Times New Roman"/>
          <w:sz w:val="22"/>
          <w:szCs w:val="22"/>
          <w:lang w:val="en-GB"/>
        </w:rPr>
        <w:t xml:space="preserve">worsened with a sharp negative terms of trade shock in 1998. Fiscal responsibility </w:t>
      </w:r>
      <w:r w:rsidR="00593E9B" w:rsidRPr="008D3C1A">
        <w:rPr>
          <w:rFonts w:ascii="Times New Roman" w:hAnsi="Times New Roman"/>
          <w:sz w:val="22"/>
          <w:szCs w:val="22"/>
          <w:lang w:val="en-GB"/>
        </w:rPr>
        <w:t>had been</w:t>
      </w:r>
      <w:r w:rsidRPr="008D3C1A">
        <w:rPr>
          <w:rFonts w:ascii="Times New Roman" w:hAnsi="Times New Roman"/>
          <w:sz w:val="22"/>
          <w:szCs w:val="22"/>
          <w:lang w:val="en-GB"/>
        </w:rPr>
        <w:t xml:space="preserve"> kept, with an actual surplus averaging 2.1</w:t>
      </w:r>
      <w:r w:rsidR="005024D3" w:rsidRPr="008D3C1A">
        <w:rPr>
          <w:rFonts w:ascii="Times New Roman" w:hAnsi="Times New Roman"/>
          <w:sz w:val="22"/>
          <w:szCs w:val="22"/>
          <w:lang w:val="en-GB"/>
        </w:rPr>
        <w:t xml:space="preserve"> per cent</w:t>
      </w:r>
      <w:r w:rsidRPr="008D3C1A">
        <w:rPr>
          <w:rFonts w:ascii="Times New Roman" w:hAnsi="Times New Roman"/>
          <w:sz w:val="22"/>
          <w:szCs w:val="22"/>
          <w:lang w:val="en-GB"/>
        </w:rPr>
        <w:t xml:space="preserve"> of GDP, </w:t>
      </w:r>
      <w:r w:rsidR="00593E9B" w:rsidRPr="008D3C1A">
        <w:rPr>
          <w:rFonts w:ascii="Times New Roman" w:hAnsi="Times New Roman"/>
          <w:sz w:val="22"/>
          <w:szCs w:val="22"/>
          <w:lang w:val="en-GB"/>
        </w:rPr>
        <w:t>while</w:t>
      </w:r>
      <w:r w:rsidRPr="008D3C1A">
        <w:rPr>
          <w:rFonts w:ascii="Times New Roman" w:hAnsi="Times New Roman"/>
          <w:sz w:val="22"/>
          <w:szCs w:val="22"/>
          <w:lang w:val="en-GB"/>
        </w:rPr>
        <w:t xml:space="preserve"> a larger private deficit was financed by the</w:t>
      </w:r>
      <w:r w:rsidR="000D1626" w:rsidRPr="008D3C1A">
        <w:rPr>
          <w:rFonts w:ascii="Times New Roman" w:hAnsi="Times New Roman"/>
          <w:sz w:val="22"/>
          <w:szCs w:val="22"/>
          <w:lang w:val="en-GB"/>
        </w:rPr>
        <w:t xml:space="preserve"> rise in their external liabilities</w:t>
      </w:r>
      <w:r w:rsidRPr="008D3C1A">
        <w:rPr>
          <w:rFonts w:ascii="Times New Roman" w:hAnsi="Times New Roman"/>
          <w:sz w:val="22"/>
          <w:szCs w:val="22"/>
          <w:lang w:val="en-GB"/>
        </w:rPr>
        <w:t>, encouraged by a weaker regulation of the capital account and exchange rate</w:t>
      </w:r>
      <w:r w:rsidR="001B4AFC" w:rsidRPr="008D3C1A">
        <w:rPr>
          <w:rFonts w:ascii="Times New Roman" w:hAnsi="Times New Roman"/>
          <w:sz w:val="22"/>
          <w:szCs w:val="22"/>
          <w:lang w:val="en-GB"/>
        </w:rPr>
        <w:t xml:space="preserve"> appreciation</w:t>
      </w:r>
      <w:r w:rsidRPr="008D3C1A">
        <w:rPr>
          <w:rFonts w:ascii="Times New Roman" w:hAnsi="Times New Roman"/>
          <w:sz w:val="22"/>
          <w:szCs w:val="22"/>
          <w:lang w:val="en-GB"/>
        </w:rPr>
        <w:t xml:space="preserve">.  </w:t>
      </w:r>
    </w:p>
    <w:p w:rsidR="002F175F" w:rsidRPr="008D3C1A" w:rsidRDefault="00375161" w:rsidP="004E552D">
      <w:pPr>
        <w:spacing w:after="120" w:line="360" w:lineRule="auto"/>
        <w:ind w:firstLine="709"/>
        <w:jc w:val="both"/>
        <w:rPr>
          <w:sz w:val="22"/>
          <w:szCs w:val="22"/>
          <w:lang w:val="en-GB"/>
        </w:rPr>
      </w:pPr>
      <w:r w:rsidRPr="008D3C1A">
        <w:rPr>
          <w:sz w:val="22"/>
          <w:szCs w:val="22"/>
          <w:lang w:val="en-GB"/>
        </w:rPr>
        <w:t>In 1996–97</w:t>
      </w:r>
      <w:r w:rsidR="00E80E43" w:rsidRPr="008D3C1A">
        <w:rPr>
          <w:sz w:val="22"/>
          <w:szCs w:val="22"/>
          <w:lang w:val="en-GB"/>
        </w:rPr>
        <w:t>,</w:t>
      </w:r>
      <w:r w:rsidRPr="008D3C1A">
        <w:rPr>
          <w:sz w:val="22"/>
          <w:szCs w:val="22"/>
          <w:lang w:val="en-GB"/>
        </w:rPr>
        <w:t xml:space="preserve"> Chile continued to record vigorous growth, with both output and investment </w:t>
      </w:r>
      <w:r w:rsidR="00E80E43" w:rsidRPr="008D3C1A">
        <w:rPr>
          <w:sz w:val="22"/>
          <w:szCs w:val="22"/>
          <w:lang w:val="en-GB"/>
        </w:rPr>
        <w:t xml:space="preserve">remaining </w:t>
      </w:r>
      <w:r w:rsidR="00681031" w:rsidRPr="008D3C1A">
        <w:rPr>
          <w:sz w:val="22"/>
          <w:szCs w:val="22"/>
          <w:lang w:val="en-GB"/>
        </w:rPr>
        <w:t xml:space="preserve">increasingly </w:t>
      </w:r>
      <w:r w:rsidRPr="008D3C1A">
        <w:rPr>
          <w:sz w:val="22"/>
          <w:szCs w:val="22"/>
          <w:lang w:val="en-GB"/>
        </w:rPr>
        <w:t xml:space="preserve">high. A determinant factor behind the </w:t>
      </w:r>
      <w:r w:rsidR="000D1626" w:rsidRPr="008D3C1A">
        <w:rPr>
          <w:sz w:val="22"/>
          <w:szCs w:val="22"/>
          <w:lang w:val="en-GB"/>
        </w:rPr>
        <w:t>record</w:t>
      </w:r>
      <w:r w:rsidRPr="008D3C1A">
        <w:rPr>
          <w:sz w:val="22"/>
          <w:szCs w:val="22"/>
          <w:lang w:val="en-GB"/>
        </w:rPr>
        <w:t xml:space="preserve"> investment </w:t>
      </w:r>
      <w:r w:rsidRPr="008D3C1A">
        <w:rPr>
          <w:sz w:val="22"/>
          <w:szCs w:val="22"/>
          <w:lang w:val="en-GB"/>
        </w:rPr>
        <w:lastRenderedPageBreak/>
        <w:t>ratio was the high employment of productive capacity as shown</w:t>
      </w:r>
      <w:r w:rsidR="00681031" w:rsidRPr="008D3C1A">
        <w:rPr>
          <w:sz w:val="22"/>
          <w:szCs w:val="22"/>
          <w:lang w:val="en-GB"/>
        </w:rPr>
        <w:t xml:space="preserve">. </w:t>
      </w:r>
      <w:r w:rsidR="00E80E43" w:rsidRPr="008D3C1A">
        <w:rPr>
          <w:sz w:val="22"/>
          <w:szCs w:val="22"/>
          <w:lang w:val="en-GB"/>
        </w:rPr>
        <w:t>However</w:t>
      </w:r>
      <w:r w:rsidRPr="008D3C1A">
        <w:rPr>
          <w:sz w:val="22"/>
          <w:szCs w:val="22"/>
          <w:lang w:val="en-GB"/>
        </w:rPr>
        <w:t xml:space="preserve">, as </w:t>
      </w:r>
      <w:r w:rsidR="00E80E43" w:rsidRPr="008D3C1A">
        <w:rPr>
          <w:sz w:val="22"/>
          <w:szCs w:val="22"/>
          <w:lang w:val="en-GB"/>
        </w:rPr>
        <w:t>previously mentioned</w:t>
      </w:r>
      <w:r w:rsidRPr="008D3C1A">
        <w:rPr>
          <w:sz w:val="22"/>
          <w:szCs w:val="22"/>
          <w:lang w:val="en-GB"/>
        </w:rPr>
        <w:t xml:space="preserve">, the </w:t>
      </w:r>
      <w:r w:rsidR="00610291" w:rsidRPr="008D3C1A">
        <w:rPr>
          <w:sz w:val="22"/>
          <w:szCs w:val="22"/>
          <w:lang w:val="en-GB"/>
        </w:rPr>
        <w:t>macro economy</w:t>
      </w:r>
      <w:r w:rsidRPr="008D3C1A">
        <w:rPr>
          <w:sz w:val="22"/>
          <w:szCs w:val="22"/>
          <w:lang w:val="en-GB"/>
        </w:rPr>
        <w:t xml:space="preserve"> was becoming vulnerable to changes in the international environment</w:t>
      </w:r>
      <w:r w:rsidR="00E80E43" w:rsidRPr="008D3C1A">
        <w:rPr>
          <w:sz w:val="22"/>
          <w:szCs w:val="22"/>
          <w:lang w:val="en-GB"/>
        </w:rPr>
        <w:t>,</w:t>
      </w:r>
      <w:r w:rsidR="00681031" w:rsidRPr="008D3C1A">
        <w:rPr>
          <w:sz w:val="22"/>
          <w:szCs w:val="22"/>
          <w:lang w:val="en-GB"/>
        </w:rPr>
        <w:t xml:space="preserve"> with the appreciation of the exchange rate and rise of external deficit</w:t>
      </w:r>
      <w:r w:rsidRPr="008D3C1A">
        <w:rPr>
          <w:sz w:val="22"/>
          <w:szCs w:val="22"/>
          <w:lang w:val="en-GB"/>
        </w:rPr>
        <w:t>.</w:t>
      </w:r>
      <w:r w:rsidR="003F7A68" w:rsidRPr="008D3C1A">
        <w:rPr>
          <w:sz w:val="22"/>
          <w:szCs w:val="22"/>
          <w:lang w:val="en-GB"/>
        </w:rPr>
        <w:t xml:space="preserve"> Fortunately, </w:t>
      </w:r>
      <w:r w:rsidR="000D1626" w:rsidRPr="008D3C1A">
        <w:rPr>
          <w:sz w:val="22"/>
          <w:szCs w:val="22"/>
          <w:lang w:val="en-GB"/>
        </w:rPr>
        <w:t xml:space="preserve">as said, </w:t>
      </w:r>
      <w:r w:rsidR="003F7A68" w:rsidRPr="008D3C1A">
        <w:rPr>
          <w:sz w:val="22"/>
          <w:szCs w:val="22"/>
          <w:lang w:val="en-GB"/>
        </w:rPr>
        <w:t>Chile did step back in 1996</w:t>
      </w:r>
      <w:r w:rsidR="00FF0AA7" w:rsidRPr="008D3C1A">
        <w:rPr>
          <w:sz w:val="22"/>
          <w:szCs w:val="22"/>
          <w:lang w:val="en-GB"/>
        </w:rPr>
        <w:t>–</w:t>
      </w:r>
      <w:r w:rsidR="003F7A68" w:rsidRPr="008D3C1A">
        <w:rPr>
          <w:sz w:val="22"/>
          <w:szCs w:val="22"/>
          <w:lang w:val="en-GB"/>
        </w:rPr>
        <w:t xml:space="preserve">98, </w:t>
      </w:r>
      <w:r w:rsidR="00E80E43" w:rsidRPr="008D3C1A">
        <w:rPr>
          <w:sz w:val="22"/>
          <w:szCs w:val="22"/>
          <w:lang w:val="en-GB"/>
        </w:rPr>
        <w:t xml:space="preserve">albeit </w:t>
      </w:r>
      <w:r w:rsidR="003F7A68" w:rsidRPr="008D3C1A">
        <w:rPr>
          <w:sz w:val="22"/>
          <w:szCs w:val="22"/>
          <w:lang w:val="en-GB"/>
        </w:rPr>
        <w:t xml:space="preserve">only to a mid-of-the-road position. </w:t>
      </w:r>
      <w:r w:rsidR="00E80E43" w:rsidRPr="008D3C1A">
        <w:rPr>
          <w:sz w:val="22"/>
          <w:szCs w:val="22"/>
          <w:lang w:val="en-GB"/>
        </w:rPr>
        <w:t xml:space="preserve">While it </w:t>
      </w:r>
      <w:r w:rsidR="008847CD" w:rsidRPr="008D3C1A">
        <w:rPr>
          <w:sz w:val="22"/>
          <w:szCs w:val="22"/>
          <w:lang w:val="en-GB"/>
        </w:rPr>
        <w:t>did</w:t>
      </w:r>
      <w:r w:rsidR="003F7A68" w:rsidRPr="008D3C1A">
        <w:rPr>
          <w:sz w:val="22"/>
          <w:szCs w:val="22"/>
          <w:lang w:val="en-GB"/>
        </w:rPr>
        <w:t xml:space="preserve"> not dismantle regulations</w:t>
      </w:r>
      <w:r w:rsidR="00E80E43" w:rsidRPr="008D3C1A">
        <w:rPr>
          <w:sz w:val="22"/>
          <w:szCs w:val="22"/>
          <w:lang w:val="en-GB"/>
        </w:rPr>
        <w:t>, it</w:t>
      </w:r>
      <w:r w:rsidR="003F7A68" w:rsidRPr="008D3C1A">
        <w:rPr>
          <w:sz w:val="22"/>
          <w:szCs w:val="22"/>
          <w:lang w:val="en-GB"/>
        </w:rPr>
        <w:t xml:space="preserve"> allowed a gradual weakening of their effects (Le Fort and Lehmann, 2003); </w:t>
      </w:r>
      <w:r w:rsidR="00E80E43" w:rsidRPr="008D3C1A">
        <w:rPr>
          <w:sz w:val="22"/>
          <w:szCs w:val="22"/>
          <w:lang w:val="en-GB"/>
        </w:rPr>
        <w:t>accordingly</w:t>
      </w:r>
      <w:r w:rsidR="003F7A68" w:rsidRPr="008D3C1A">
        <w:rPr>
          <w:sz w:val="22"/>
          <w:szCs w:val="22"/>
          <w:lang w:val="en-GB"/>
        </w:rPr>
        <w:t xml:space="preserve">, disequilibria </w:t>
      </w:r>
      <w:r w:rsidR="008847CD" w:rsidRPr="008D3C1A">
        <w:rPr>
          <w:sz w:val="22"/>
          <w:szCs w:val="22"/>
          <w:lang w:val="en-GB"/>
        </w:rPr>
        <w:t>were</w:t>
      </w:r>
      <w:r w:rsidR="003F7A68" w:rsidRPr="008D3C1A">
        <w:rPr>
          <w:sz w:val="22"/>
          <w:szCs w:val="22"/>
          <w:lang w:val="en-GB"/>
        </w:rPr>
        <w:t xml:space="preserve"> moderate after six years of counter-cyclicality and only a couple of </w:t>
      </w:r>
      <w:r w:rsidR="008D3C1A" w:rsidRPr="008D3C1A">
        <w:rPr>
          <w:sz w:val="22"/>
          <w:szCs w:val="22"/>
          <w:lang w:val="en-GB"/>
        </w:rPr>
        <w:t>years of</w:t>
      </w:r>
      <w:r w:rsidR="003F7A68" w:rsidRPr="008D3C1A">
        <w:rPr>
          <w:sz w:val="22"/>
          <w:szCs w:val="22"/>
          <w:lang w:val="en-GB"/>
        </w:rPr>
        <w:t xml:space="preserve"> soft pro-cyclicality.</w:t>
      </w:r>
      <w:r w:rsidR="002F175F" w:rsidRPr="008D3C1A">
        <w:rPr>
          <w:sz w:val="22"/>
          <w:szCs w:val="22"/>
          <w:lang w:val="en-GB"/>
        </w:rPr>
        <w:tab/>
      </w:r>
    </w:p>
    <w:p w:rsidR="00A15A84" w:rsidRPr="008D3C1A" w:rsidRDefault="00E80E43" w:rsidP="00AC15A7">
      <w:pPr>
        <w:spacing w:line="360" w:lineRule="auto"/>
        <w:ind w:firstLine="709"/>
        <w:jc w:val="both"/>
        <w:rPr>
          <w:sz w:val="22"/>
          <w:szCs w:val="22"/>
          <w:lang w:val="en-GB"/>
        </w:rPr>
      </w:pPr>
      <w:r w:rsidRPr="008D3C1A">
        <w:rPr>
          <w:sz w:val="22"/>
          <w:szCs w:val="22"/>
          <w:lang w:val="en-GB"/>
        </w:rPr>
        <w:t>Therefore</w:t>
      </w:r>
      <w:r w:rsidR="002F175F" w:rsidRPr="008D3C1A">
        <w:rPr>
          <w:sz w:val="22"/>
          <w:szCs w:val="22"/>
          <w:lang w:val="en-GB"/>
        </w:rPr>
        <w:t>, Chile had advanced toward</w:t>
      </w:r>
      <w:r w:rsidRPr="008D3C1A">
        <w:rPr>
          <w:sz w:val="22"/>
          <w:szCs w:val="22"/>
          <w:lang w:val="en-GB"/>
        </w:rPr>
        <w:t>s</w:t>
      </w:r>
      <w:r w:rsidR="002F175F" w:rsidRPr="008D3C1A">
        <w:rPr>
          <w:sz w:val="22"/>
          <w:szCs w:val="22"/>
          <w:lang w:val="en-GB"/>
        </w:rPr>
        <w:t xml:space="preserve"> development with the significant macroeconomic reform</w:t>
      </w:r>
      <w:r w:rsidR="000D1626" w:rsidRPr="008D3C1A">
        <w:rPr>
          <w:sz w:val="22"/>
          <w:szCs w:val="22"/>
          <w:lang w:val="en-GB"/>
        </w:rPr>
        <w:t xml:space="preserve"> in 1990</w:t>
      </w:r>
      <w:r w:rsidR="00FF0AA7" w:rsidRPr="008D3C1A">
        <w:rPr>
          <w:sz w:val="22"/>
          <w:szCs w:val="22"/>
          <w:lang w:val="en-GB"/>
        </w:rPr>
        <w:t>–</w:t>
      </w:r>
      <w:r w:rsidR="000D1626" w:rsidRPr="008D3C1A">
        <w:rPr>
          <w:sz w:val="22"/>
          <w:szCs w:val="22"/>
          <w:lang w:val="en-GB"/>
        </w:rPr>
        <w:t>95</w:t>
      </w:r>
      <w:r w:rsidR="002F175F" w:rsidRPr="008D3C1A">
        <w:rPr>
          <w:sz w:val="22"/>
          <w:szCs w:val="22"/>
          <w:lang w:val="en-GB"/>
        </w:rPr>
        <w:t xml:space="preserve">, with </w:t>
      </w:r>
      <w:r w:rsidR="000D1626" w:rsidRPr="008D3C1A">
        <w:rPr>
          <w:sz w:val="22"/>
          <w:szCs w:val="22"/>
          <w:lang w:val="en-GB"/>
        </w:rPr>
        <w:t xml:space="preserve">some </w:t>
      </w:r>
      <w:r w:rsidR="002F175F" w:rsidRPr="008D3C1A">
        <w:rPr>
          <w:sz w:val="22"/>
          <w:szCs w:val="22"/>
          <w:lang w:val="en-GB"/>
        </w:rPr>
        <w:t>stepsback in 1996</w:t>
      </w:r>
      <w:r w:rsidR="00FF0AA7" w:rsidRPr="008D3C1A">
        <w:rPr>
          <w:sz w:val="22"/>
          <w:szCs w:val="22"/>
          <w:lang w:val="en-GB"/>
        </w:rPr>
        <w:t>–</w:t>
      </w:r>
      <w:r w:rsidR="002F175F" w:rsidRPr="008D3C1A">
        <w:rPr>
          <w:sz w:val="22"/>
          <w:szCs w:val="22"/>
          <w:lang w:val="en-GB"/>
        </w:rPr>
        <w:t>97</w:t>
      </w:r>
      <w:r w:rsidR="000D1626" w:rsidRPr="008D3C1A">
        <w:rPr>
          <w:sz w:val="22"/>
          <w:szCs w:val="22"/>
          <w:lang w:val="en-GB"/>
        </w:rPr>
        <w:t xml:space="preserve">, while </w:t>
      </w:r>
      <w:r w:rsidR="008847CD" w:rsidRPr="008D3C1A">
        <w:rPr>
          <w:sz w:val="22"/>
          <w:szCs w:val="22"/>
          <w:lang w:val="en-GB"/>
        </w:rPr>
        <w:t xml:space="preserve">it </w:t>
      </w:r>
      <w:r w:rsidR="000D1626" w:rsidRPr="008D3C1A">
        <w:rPr>
          <w:sz w:val="22"/>
          <w:szCs w:val="22"/>
          <w:lang w:val="en-GB"/>
        </w:rPr>
        <w:t>only</w:t>
      </w:r>
      <w:r w:rsidR="002F175F" w:rsidRPr="008D3C1A">
        <w:rPr>
          <w:sz w:val="22"/>
          <w:szCs w:val="22"/>
          <w:lang w:val="en-GB"/>
        </w:rPr>
        <w:t xml:space="preserve"> had made minor progress with respect to productive development policies.</w:t>
      </w:r>
      <w:r w:rsidR="000D1626" w:rsidRPr="008D3C1A">
        <w:rPr>
          <w:sz w:val="22"/>
          <w:szCs w:val="22"/>
          <w:lang w:val="en-GB"/>
        </w:rPr>
        <w:t xml:space="preserve"> Later</w:t>
      </w:r>
      <w:r w:rsidR="007454A1" w:rsidRPr="008D3C1A">
        <w:rPr>
          <w:sz w:val="22"/>
          <w:szCs w:val="22"/>
          <w:lang w:val="en-GB"/>
        </w:rPr>
        <w:t>,</w:t>
      </w:r>
      <w:r w:rsidR="008847CD" w:rsidRPr="008D3C1A">
        <w:rPr>
          <w:sz w:val="22"/>
          <w:szCs w:val="22"/>
          <w:lang w:val="en-GB"/>
        </w:rPr>
        <w:t xml:space="preserve"> it</w:t>
      </w:r>
      <w:r w:rsidR="000D1626" w:rsidRPr="008D3C1A">
        <w:rPr>
          <w:sz w:val="22"/>
          <w:szCs w:val="22"/>
          <w:lang w:val="en-GB"/>
        </w:rPr>
        <w:t xml:space="preserve"> gave up liberali</w:t>
      </w:r>
      <w:r w:rsidR="00EA5066" w:rsidRPr="008D3C1A">
        <w:rPr>
          <w:sz w:val="22"/>
          <w:szCs w:val="22"/>
          <w:lang w:val="en-GB"/>
        </w:rPr>
        <w:t>s</w:t>
      </w:r>
      <w:r w:rsidR="000D1626" w:rsidRPr="008D3C1A">
        <w:rPr>
          <w:sz w:val="22"/>
          <w:szCs w:val="22"/>
          <w:lang w:val="en-GB"/>
        </w:rPr>
        <w:t xml:space="preserve">ing the exchange rate in 1999 and the capital account in 2001. Table </w:t>
      </w:r>
      <w:r w:rsidR="00B7637D">
        <w:rPr>
          <w:sz w:val="22"/>
          <w:szCs w:val="22"/>
          <w:lang w:val="en-GB"/>
        </w:rPr>
        <w:t>3</w:t>
      </w:r>
      <w:r w:rsidR="000D1626" w:rsidRPr="008D3C1A">
        <w:rPr>
          <w:sz w:val="22"/>
          <w:szCs w:val="22"/>
          <w:lang w:val="en-GB"/>
        </w:rPr>
        <w:t xml:space="preserve"> compares </w:t>
      </w:r>
      <w:r w:rsidR="007454A1" w:rsidRPr="008D3C1A">
        <w:rPr>
          <w:sz w:val="22"/>
          <w:szCs w:val="22"/>
          <w:lang w:val="en-GB"/>
        </w:rPr>
        <w:t xml:space="preserve">the </w:t>
      </w:r>
      <w:r w:rsidR="000D1626" w:rsidRPr="008D3C1A">
        <w:rPr>
          <w:sz w:val="22"/>
          <w:szCs w:val="22"/>
          <w:lang w:val="en-GB"/>
        </w:rPr>
        <w:t>average performance of GD</w:t>
      </w:r>
      <w:r w:rsidR="002F27BE" w:rsidRPr="008D3C1A">
        <w:rPr>
          <w:sz w:val="22"/>
          <w:szCs w:val="22"/>
          <w:lang w:val="en-GB"/>
        </w:rPr>
        <w:t>P</w:t>
      </w:r>
      <w:r w:rsidR="000D1626" w:rsidRPr="008D3C1A">
        <w:rPr>
          <w:sz w:val="22"/>
          <w:szCs w:val="22"/>
          <w:lang w:val="en-GB"/>
        </w:rPr>
        <w:t xml:space="preserve"> and wages in 1990</w:t>
      </w:r>
      <w:r w:rsidR="00FF0AA7" w:rsidRPr="008D3C1A">
        <w:rPr>
          <w:sz w:val="22"/>
          <w:szCs w:val="22"/>
          <w:lang w:val="en-GB"/>
        </w:rPr>
        <w:t>–</w:t>
      </w:r>
      <w:r w:rsidR="000D1626" w:rsidRPr="008D3C1A">
        <w:rPr>
          <w:sz w:val="22"/>
          <w:szCs w:val="22"/>
          <w:lang w:val="en-GB"/>
        </w:rPr>
        <w:t>98 and 1999</w:t>
      </w:r>
      <w:r w:rsidR="00FF0AA7" w:rsidRPr="008D3C1A">
        <w:rPr>
          <w:sz w:val="22"/>
          <w:szCs w:val="22"/>
          <w:lang w:val="en-GB"/>
        </w:rPr>
        <w:t>–</w:t>
      </w:r>
      <w:r w:rsidR="000D1626" w:rsidRPr="008D3C1A">
        <w:rPr>
          <w:sz w:val="22"/>
          <w:szCs w:val="22"/>
          <w:lang w:val="en-GB"/>
        </w:rPr>
        <w:t>2013</w:t>
      </w:r>
      <w:r w:rsidR="007454A1" w:rsidRPr="008D3C1A">
        <w:rPr>
          <w:sz w:val="22"/>
          <w:szCs w:val="22"/>
          <w:lang w:val="en-GB"/>
        </w:rPr>
        <w:t>, marking</w:t>
      </w:r>
      <w:r w:rsidR="000D1626" w:rsidRPr="008D3C1A">
        <w:rPr>
          <w:sz w:val="22"/>
          <w:szCs w:val="22"/>
          <w:lang w:val="en-GB"/>
        </w:rPr>
        <w:t xml:space="preserve"> a large contrast. Capital formation is rather similar and suggest</w:t>
      </w:r>
      <w:r w:rsidR="003C0285" w:rsidRPr="008D3C1A">
        <w:rPr>
          <w:sz w:val="22"/>
          <w:szCs w:val="22"/>
          <w:lang w:val="en-GB"/>
        </w:rPr>
        <w:t>s</w:t>
      </w:r>
      <w:r w:rsidR="000D1626" w:rsidRPr="008D3C1A">
        <w:rPr>
          <w:sz w:val="22"/>
          <w:szCs w:val="22"/>
          <w:lang w:val="en-GB"/>
        </w:rPr>
        <w:t xml:space="preserve"> a sharp drop in total factor productivity</w:t>
      </w:r>
      <w:r w:rsidR="007454A1" w:rsidRPr="008D3C1A">
        <w:rPr>
          <w:sz w:val="22"/>
          <w:szCs w:val="22"/>
          <w:lang w:val="en-GB"/>
        </w:rPr>
        <w:t>,</w:t>
      </w:r>
      <w:r w:rsidR="003C0285" w:rsidRPr="008D3C1A">
        <w:rPr>
          <w:sz w:val="22"/>
          <w:szCs w:val="22"/>
          <w:lang w:val="en-GB"/>
        </w:rPr>
        <w:t xml:space="preserve">partly </w:t>
      </w:r>
      <w:r w:rsidR="000D1626" w:rsidRPr="008D3C1A">
        <w:rPr>
          <w:sz w:val="22"/>
          <w:szCs w:val="22"/>
          <w:lang w:val="en-GB"/>
        </w:rPr>
        <w:t>associated</w:t>
      </w:r>
      <w:r w:rsidR="007454A1" w:rsidRPr="008D3C1A">
        <w:rPr>
          <w:sz w:val="22"/>
          <w:szCs w:val="22"/>
          <w:lang w:val="en-GB"/>
        </w:rPr>
        <w:t xml:space="preserve">with </w:t>
      </w:r>
      <w:r w:rsidR="003C0285" w:rsidRPr="008D3C1A">
        <w:rPr>
          <w:sz w:val="22"/>
          <w:szCs w:val="22"/>
          <w:lang w:val="en-GB"/>
        </w:rPr>
        <w:t>real macroeconomic instability.</w:t>
      </w:r>
    </w:p>
    <w:p w:rsidR="007F1269" w:rsidRPr="008D3C1A" w:rsidRDefault="007F1269" w:rsidP="00AC15A7">
      <w:pPr>
        <w:pStyle w:val="Sangra2detindependiente"/>
        <w:spacing w:line="360" w:lineRule="auto"/>
        <w:ind w:left="0" w:firstLine="0"/>
        <w:rPr>
          <w:rFonts w:ascii="Times New Roman" w:hAnsi="Times New Roman"/>
          <w:b/>
          <w:sz w:val="22"/>
          <w:szCs w:val="22"/>
          <w:lang w:val="en-GB"/>
        </w:rPr>
      </w:pPr>
    </w:p>
    <w:p w:rsidR="007F1269" w:rsidRPr="008D3C1A" w:rsidRDefault="00AB7BB2" w:rsidP="004E552D">
      <w:pPr>
        <w:pStyle w:val="Sangra2detindependiente"/>
        <w:spacing w:after="120" w:line="360" w:lineRule="auto"/>
        <w:ind w:left="0" w:firstLine="0"/>
        <w:outlineLvl w:val="1"/>
        <w:rPr>
          <w:rFonts w:ascii="Times New Roman" w:hAnsi="Times New Roman"/>
          <w:i/>
          <w:szCs w:val="24"/>
          <w:lang w:val="en-GB"/>
        </w:rPr>
      </w:pPr>
      <w:bookmarkStart w:id="6" w:name="_Toc401076033"/>
      <w:r w:rsidRPr="008D3C1A">
        <w:rPr>
          <w:rFonts w:ascii="Times New Roman" w:hAnsi="Times New Roman"/>
          <w:b/>
          <w:i/>
          <w:szCs w:val="24"/>
          <w:lang w:val="en-GB"/>
        </w:rPr>
        <w:t>C.</w:t>
      </w:r>
      <w:r w:rsidR="007F1269" w:rsidRPr="008D3C1A">
        <w:rPr>
          <w:rFonts w:ascii="Times New Roman" w:hAnsi="Times New Roman"/>
          <w:b/>
          <w:i/>
          <w:szCs w:val="24"/>
          <w:lang w:val="en-GB"/>
        </w:rPr>
        <w:t>Contagion</w:t>
      </w:r>
      <w:r w:rsidR="003F7A68" w:rsidRPr="008D3C1A">
        <w:rPr>
          <w:rFonts w:ascii="Times New Roman" w:hAnsi="Times New Roman"/>
          <w:b/>
          <w:i/>
          <w:szCs w:val="24"/>
          <w:lang w:val="en-GB"/>
        </w:rPr>
        <w:t>,</w:t>
      </w:r>
      <w:r w:rsidR="007F1269" w:rsidRPr="008D3C1A">
        <w:rPr>
          <w:rFonts w:ascii="Times New Roman" w:hAnsi="Times New Roman"/>
          <w:b/>
          <w:i/>
          <w:szCs w:val="24"/>
          <w:lang w:val="en-GB"/>
        </w:rPr>
        <w:t xml:space="preserve"> counter-cyclical response and recovery in 200</w:t>
      </w:r>
      <w:r w:rsidR="003F7A68" w:rsidRPr="008D3C1A">
        <w:rPr>
          <w:rFonts w:ascii="Times New Roman" w:hAnsi="Times New Roman"/>
          <w:b/>
          <w:i/>
          <w:szCs w:val="24"/>
          <w:lang w:val="en-GB"/>
        </w:rPr>
        <w:t>8</w:t>
      </w:r>
      <w:r w:rsidR="00FF0AA7" w:rsidRPr="008D3C1A">
        <w:rPr>
          <w:rFonts w:ascii="Times New Roman" w:hAnsi="Times New Roman"/>
          <w:b/>
          <w:i/>
          <w:szCs w:val="24"/>
          <w:lang w:val="en-GB"/>
        </w:rPr>
        <w:t>–</w:t>
      </w:r>
      <w:r w:rsidR="007F1269" w:rsidRPr="008D3C1A">
        <w:rPr>
          <w:rFonts w:ascii="Times New Roman" w:hAnsi="Times New Roman"/>
          <w:b/>
          <w:i/>
          <w:szCs w:val="24"/>
          <w:lang w:val="en-GB"/>
        </w:rPr>
        <w:t>1</w:t>
      </w:r>
      <w:r w:rsidR="003F7A68" w:rsidRPr="008D3C1A">
        <w:rPr>
          <w:rFonts w:ascii="Times New Roman" w:hAnsi="Times New Roman"/>
          <w:b/>
          <w:i/>
          <w:szCs w:val="24"/>
          <w:lang w:val="en-GB"/>
        </w:rPr>
        <w:t>3</w:t>
      </w:r>
      <w:bookmarkEnd w:id="6"/>
    </w:p>
    <w:p w:rsidR="00F31B04" w:rsidRPr="008D3C1A" w:rsidRDefault="007F1269" w:rsidP="004E552D">
      <w:pPr>
        <w:spacing w:after="120" w:line="360" w:lineRule="auto"/>
        <w:ind w:firstLine="708"/>
        <w:jc w:val="both"/>
        <w:rPr>
          <w:sz w:val="22"/>
          <w:szCs w:val="22"/>
          <w:lang w:val="en-GB"/>
        </w:rPr>
      </w:pPr>
      <w:r w:rsidRPr="008D3C1A">
        <w:rPr>
          <w:sz w:val="22"/>
          <w:szCs w:val="22"/>
          <w:lang w:val="en-GB"/>
        </w:rPr>
        <w:t>When the contagion of the global crisis arrived in 2008, economic activity in Chile suffered a</w:t>
      </w:r>
      <w:r w:rsidR="002F175F" w:rsidRPr="008D3C1A">
        <w:rPr>
          <w:sz w:val="22"/>
          <w:szCs w:val="22"/>
          <w:lang w:val="en-GB"/>
        </w:rPr>
        <w:t xml:space="preserve"> sharp reces</w:t>
      </w:r>
      <w:r w:rsidRPr="008D3C1A">
        <w:rPr>
          <w:sz w:val="22"/>
          <w:szCs w:val="22"/>
          <w:lang w:val="en-GB"/>
        </w:rPr>
        <w:t>sive adjustment between late 2008 and 2009</w:t>
      </w:r>
      <w:r w:rsidR="0041771A" w:rsidRPr="008D3C1A">
        <w:rPr>
          <w:sz w:val="22"/>
          <w:szCs w:val="22"/>
          <w:lang w:val="en-GB"/>
        </w:rPr>
        <w:t>, including</w:t>
      </w:r>
      <w:r w:rsidRPr="008D3C1A">
        <w:rPr>
          <w:sz w:val="22"/>
          <w:szCs w:val="22"/>
          <w:lang w:val="en-GB"/>
        </w:rPr>
        <w:t xml:space="preserve"> a contraction of capital flows, trade volume and copper price. In contrast with a </w:t>
      </w:r>
      <w:r w:rsidR="003C0285" w:rsidRPr="008D3C1A">
        <w:rPr>
          <w:sz w:val="22"/>
          <w:szCs w:val="22"/>
          <w:lang w:val="en-GB"/>
        </w:rPr>
        <w:t>mostly</w:t>
      </w:r>
      <w:r w:rsidRPr="008D3C1A">
        <w:rPr>
          <w:sz w:val="22"/>
          <w:szCs w:val="22"/>
          <w:lang w:val="en-GB"/>
        </w:rPr>
        <w:t xml:space="preserve"> neutral approach since the late 1990s, </w:t>
      </w:r>
      <w:r w:rsidR="007B4C07" w:rsidRPr="008D3C1A">
        <w:rPr>
          <w:sz w:val="22"/>
          <w:szCs w:val="22"/>
          <w:lang w:val="en-GB"/>
        </w:rPr>
        <w:t xml:space="preserve">the </w:t>
      </w:r>
      <w:r w:rsidRPr="008D3C1A">
        <w:rPr>
          <w:sz w:val="22"/>
          <w:szCs w:val="22"/>
          <w:lang w:val="en-GB"/>
        </w:rPr>
        <w:t xml:space="preserve">government adopted a decided counter-cyclical approach, making use of the </w:t>
      </w:r>
      <w:r w:rsidR="003F7A68" w:rsidRPr="008D3C1A">
        <w:rPr>
          <w:sz w:val="22"/>
          <w:szCs w:val="22"/>
          <w:lang w:val="en-GB"/>
        </w:rPr>
        <w:t>sovereign</w:t>
      </w:r>
      <w:r w:rsidRPr="008D3C1A">
        <w:rPr>
          <w:sz w:val="22"/>
          <w:szCs w:val="22"/>
          <w:lang w:val="en-GB"/>
        </w:rPr>
        <w:t xml:space="preserve"> fund</w:t>
      </w:r>
      <w:r w:rsidR="0041771A" w:rsidRPr="008D3C1A">
        <w:rPr>
          <w:sz w:val="22"/>
          <w:szCs w:val="22"/>
          <w:lang w:val="en-GB"/>
        </w:rPr>
        <w:t xml:space="preserve"> that</w:t>
      </w:r>
      <w:r w:rsidR="00F31B04" w:rsidRPr="008D3C1A">
        <w:rPr>
          <w:sz w:val="22"/>
          <w:szCs w:val="22"/>
          <w:lang w:val="en-GB"/>
        </w:rPr>
        <w:t xml:space="preserve">had been accumulated during the boom in copper prices in accordance with </w:t>
      </w:r>
      <w:r w:rsidR="008847CD" w:rsidRPr="008D3C1A">
        <w:rPr>
          <w:sz w:val="22"/>
          <w:szCs w:val="22"/>
          <w:lang w:val="en-GB"/>
        </w:rPr>
        <w:t>the</w:t>
      </w:r>
      <w:r w:rsidR="00F31B04" w:rsidRPr="008D3C1A">
        <w:rPr>
          <w:sz w:val="22"/>
          <w:szCs w:val="22"/>
          <w:lang w:val="en-GB"/>
        </w:rPr>
        <w:t>structural fiscal balance approach adopted in 2001.</w:t>
      </w:r>
    </w:p>
    <w:p w:rsidR="00375161" w:rsidRPr="008D3C1A" w:rsidRDefault="002F175F" w:rsidP="004E552D">
      <w:pPr>
        <w:pStyle w:val="Sangra2detindependiente"/>
        <w:spacing w:after="120" w:line="360" w:lineRule="auto"/>
        <w:ind w:left="0" w:firstLine="708"/>
        <w:rPr>
          <w:rFonts w:ascii="Times New Roman" w:hAnsi="Times New Roman"/>
          <w:sz w:val="22"/>
          <w:szCs w:val="22"/>
          <w:lang w:val="en-GB"/>
        </w:rPr>
      </w:pPr>
      <w:r w:rsidRPr="008D3C1A">
        <w:rPr>
          <w:rFonts w:ascii="Times New Roman" w:hAnsi="Times New Roman"/>
          <w:sz w:val="22"/>
          <w:szCs w:val="22"/>
          <w:lang w:val="en-GB"/>
        </w:rPr>
        <w:t>E</w:t>
      </w:r>
      <w:r w:rsidR="007F1269" w:rsidRPr="008D3C1A">
        <w:rPr>
          <w:rFonts w:ascii="Times New Roman" w:hAnsi="Times New Roman"/>
          <w:sz w:val="22"/>
          <w:szCs w:val="22"/>
          <w:lang w:val="en-GB"/>
        </w:rPr>
        <w:t xml:space="preserve">xpenditure was increased </w:t>
      </w:r>
      <w:r w:rsidR="0041771A" w:rsidRPr="008D3C1A">
        <w:rPr>
          <w:rFonts w:ascii="Times New Roman" w:hAnsi="Times New Roman"/>
          <w:sz w:val="22"/>
          <w:szCs w:val="22"/>
          <w:lang w:val="en-GB"/>
        </w:rPr>
        <w:t xml:space="preserve">by </w:t>
      </w:r>
      <w:r w:rsidR="007F1269" w:rsidRPr="008D3C1A">
        <w:rPr>
          <w:rFonts w:ascii="Times New Roman" w:hAnsi="Times New Roman"/>
          <w:sz w:val="22"/>
          <w:szCs w:val="22"/>
          <w:lang w:val="en-GB"/>
        </w:rPr>
        <w:t>17</w:t>
      </w:r>
      <w:r w:rsidR="005024D3" w:rsidRPr="008D3C1A">
        <w:rPr>
          <w:rFonts w:ascii="Times New Roman" w:hAnsi="Times New Roman"/>
          <w:sz w:val="22"/>
          <w:szCs w:val="22"/>
          <w:lang w:val="en-GB"/>
        </w:rPr>
        <w:t xml:space="preserve"> per cent</w:t>
      </w:r>
      <w:r w:rsidR="007F1269" w:rsidRPr="008D3C1A">
        <w:rPr>
          <w:rFonts w:ascii="Times New Roman" w:hAnsi="Times New Roman"/>
          <w:sz w:val="22"/>
          <w:szCs w:val="22"/>
          <w:lang w:val="en-GB"/>
        </w:rPr>
        <w:t xml:space="preserve"> and </w:t>
      </w:r>
      <w:r w:rsidR="007B4C07" w:rsidRPr="008D3C1A">
        <w:rPr>
          <w:rFonts w:ascii="Times New Roman" w:hAnsi="Times New Roman"/>
          <w:sz w:val="22"/>
          <w:szCs w:val="22"/>
          <w:lang w:val="en-GB"/>
        </w:rPr>
        <w:t xml:space="preserve">some tax rates </w:t>
      </w:r>
      <w:r w:rsidR="004032FA" w:rsidRPr="008D3C1A">
        <w:rPr>
          <w:rFonts w:ascii="Times New Roman" w:hAnsi="Times New Roman"/>
          <w:sz w:val="22"/>
          <w:szCs w:val="22"/>
          <w:lang w:val="en-GB"/>
        </w:rPr>
        <w:t xml:space="preserve">were reduced transitorily </w:t>
      </w:r>
      <w:r w:rsidR="007B4C07" w:rsidRPr="008D3C1A">
        <w:rPr>
          <w:rFonts w:ascii="Times New Roman" w:hAnsi="Times New Roman"/>
          <w:sz w:val="22"/>
          <w:szCs w:val="22"/>
          <w:lang w:val="en-GB"/>
        </w:rPr>
        <w:t>(on fuels, loans, SMEs)</w:t>
      </w:r>
      <w:r w:rsidR="0041771A" w:rsidRPr="008D3C1A">
        <w:rPr>
          <w:rFonts w:ascii="Times New Roman" w:hAnsi="Times New Roman"/>
          <w:sz w:val="22"/>
          <w:szCs w:val="22"/>
          <w:lang w:val="en-GB"/>
        </w:rPr>
        <w:t>, despite</w:t>
      </w:r>
      <w:r w:rsidR="007B4C07" w:rsidRPr="008D3C1A">
        <w:rPr>
          <w:rFonts w:ascii="Times New Roman" w:hAnsi="Times New Roman"/>
          <w:sz w:val="22"/>
          <w:szCs w:val="22"/>
          <w:lang w:val="en-GB"/>
        </w:rPr>
        <w:t xml:space="preserve"> fiscal income </w:t>
      </w:r>
      <w:r w:rsidR="0041771A" w:rsidRPr="008D3C1A">
        <w:rPr>
          <w:rFonts w:ascii="Times New Roman" w:hAnsi="Times New Roman"/>
          <w:sz w:val="22"/>
          <w:szCs w:val="22"/>
          <w:lang w:val="en-GB"/>
        </w:rPr>
        <w:t xml:space="preserve">having </w:t>
      </w:r>
      <w:r w:rsidR="007B4C07" w:rsidRPr="008D3C1A">
        <w:rPr>
          <w:rFonts w:ascii="Times New Roman" w:hAnsi="Times New Roman"/>
          <w:sz w:val="22"/>
          <w:szCs w:val="22"/>
          <w:lang w:val="en-GB"/>
        </w:rPr>
        <w:t>fallen 10</w:t>
      </w:r>
      <w:r w:rsidR="005024D3" w:rsidRPr="008D3C1A">
        <w:rPr>
          <w:rFonts w:ascii="Times New Roman" w:hAnsi="Times New Roman"/>
          <w:sz w:val="22"/>
          <w:szCs w:val="22"/>
          <w:lang w:val="en-GB"/>
        </w:rPr>
        <w:t xml:space="preserve"> per cent</w:t>
      </w:r>
      <w:r w:rsidR="007B4C07" w:rsidRPr="008D3C1A">
        <w:rPr>
          <w:rFonts w:ascii="Times New Roman" w:hAnsi="Times New Roman"/>
          <w:sz w:val="22"/>
          <w:szCs w:val="22"/>
          <w:lang w:val="en-GB"/>
        </w:rPr>
        <w:t xml:space="preserve"> in 2008 and 20</w:t>
      </w:r>
      <w:r w:rsidR="005024D3" w:rsidRPr="008D3C1A">
        <w:rPr>
          <w:rFonts w:ascii="Times New Roman" w:hAnsi="Times New Roman"/>
          <w:sz w:val="22"/>
          <w:szCs w:val="22"/>
          <w:lang w:val="en-GB"/>
        </w:rPr>
        <w:t xml:space="preserve"> per cent</w:t>
      </w:r>
      <w:r w:rsidR="007B4C07" w:rsidRPr="008D3C1A">
        <w:rPr>
          <w:rFonts w:ascii="Times New Roman" w:hAnsi="Times New Roman"/>
          <w:sz w:val="22"/>
          <w:szCs w:val="22"/>
          <w:lang w:val="en-GB"/>
        </w:rPr>
        <w:t xml:space="preserve"> in 2009</w:t>
      </w:r>
      <w:r w:rsidR="003F7A68" w:rsidRPr="008D3C1A">
        <w:rPr>
          <w:rFonts w:ascii="Times New Roman" w:hAnsi="Times New Roman"/>
          <w:sz w:val="22"/>
          <w:szCs w:val="22"/>
          <w:lang w:val="en-GB"/>
        </w:rPr>
        <w:t>.</w:t>
      </w:r>
      <w:r w:rsidR="003F7A68" w:rsidRPr="008D3C1A">
        <w:rPr>
          <w:rStyle w:val="Refdenotaalpie"/>
          <w:rFonts w:ascii="Times New Roman" w:hAnsi="Times New Roman"/>
          <w:sz w:val="22"/>
          <w:szCs w:val="22"/>
          <w:lang w:val="en-GB"/>
        </w:rPr>
        <w:footnoteReference w:id="14"/>
      </w:r>
      <w:r w:rsidR="007B4C07" w:rsidRPr="008D3C1A">
        <w:rPr>
          <w:rFonts w:ascii="Times New Roman" w:hAnsi="Times New Roman"/>
          <w:sz w:val="22"/>
          <w:szCs w:val="22"/>
          <w:lang w:val="en-GB"/>
        </w:rPr>
        <w:t xml:space="preserve"> This implied a transitory </w:t>
      </w:r>
      <w:r w:rsidR="004032FA" w:rsidRPr="008D3C1A">
        <w:rPr>
          <w:rFonts w:ascii="Times New Roman" w:hAnsi="Times New Roman"/>
          <w:sz w:val="22"/>
          <w:szCs w:val="22"/>
          <w:lang w:val="en-GB"/>
        </w:rPr>
        <w:t>actual</w:t>
      </w:r>
      <w:r w:rsidR="007B4C07" w:rsidRPr="008D3C1A">
        <w:rPr>
          <w:rFonts w:ascii="Times New Roman" w:hAnsi="Times New Roman"/>
          <w:sz w:val="22"/>
          <w:szCs w:val="22"/>
          <w:lang w:val="en-GB"/>
        </w:rPr>
        <w:t xml:space="preserve"> deficit of 4.4</w:t>
      </w:r>
      <w:r w:rsidR="005024D3" w:rsidRPr="008D3C1A">
        <w:rPr>
          <w:rFonts w:ascii="Times New Roman" w:hAnsi="Times New Roman"/>
          <w:sz w:val="22"/>
          <w:szCs w:val="22"/>
          <w:lang w:val="en-GB"/>
        </w:rPr>
        <w:t xml:space="preserve"> per cent</w:t>
      </w:r>
      <w:r w:rsidR="007B4C07" w:rsidRPr="008D3C1A">
        <w:rPr>
          <w:rFonts w:ascii="Times New Roman" w:hAnsi="Times New Roman"/>
          <w:sz w:val="22"/>
          <w:szCs w:val="22"/>
          <w:lang w:val="en-GB"/>
        </w:rPr>
        <w:t xml:space="preserve"> of GDP in 2009</w:t>
      </w:r>
      <w:r w:rsidR="008D3C1A" w:rsidRPr="008D3C1A">
        <w:rPr>
          <w:rFonts w:ascii="Times New Roman" w:hAnsi="Times New Roman"/>
          <w:sz w:val="22"/>
          <w:szCs w:val="22"/>
          <w:lang w:val="en-GB"/>
        </w:rPr>
        <w:t xml:space="preserve">. </w:t>
      </w:r>
      <w:r w:rsidR="007F1269" w:rsidRPr="008D3C1A">
        <w:rPr>
          <w:rFonts w:ascii="Times New Roman" w:hAnsi="Times New Roman"/>
          <w:sz w:val="22"/>
          <w:szCs w:val="22"/>
          <w:lang w:val="en-GB"/>
        </w:rPr>
        <w:t>The Central Bank</w:t>
      </w:r>
      <w:r w:rsidR="0041771A" w:rsidRPr="008D3C1A">
        <w:rPr>
          <w:rFonts w:ascii="Times New Roman" w:hAnsi="Times New Roman"/>
          <w:sz w:val="22"/>
          <w:szCs w:val="22"/>
          <w:lang w:val="en-GB"/>
        </w:rPr>
        <w:t xml:space="preserve"> sharply </w:t>
      </w:r>
      <w:r w:rsidR="007F1269" w:rsidRPr="008D3C1A">
        <w:rPr>
          <w:rFonts w:ascii="Times New Roman" w:hAnsi="Times New Roman"/>
          <w:sz w:val="22"/>
          <w:szCs w:val="22"/>
          <w:lang w:val="en-GB"/>
        </w:rPr>
        <w:t>reduced the monetary policy interest rate</w:t>
      </w:r>
      <w:r w:rsidR="0041771A" w:rsidRPr="008D3C1A">
        <w:rPr>
          <w:rFonts w:ascii="Times New Roman" w:hAnsi="Times New Roman"/>
          <w:sz w:val="22"/>
          <w:szCs w:val="22"/>
          <w:lang w:val="en-GB"/>
        </w:rPr>
        <w:t>, albeit in a delayed decision</w:t>
      </w:r>
      <w:r w:rsidR="007F1269" w:rsidRPr="008D3C1A">
        <w:rPr>
          <w:rFonts w:ascii="Times New Roman" w:hAnsi="Times New Roman"/>
          <w:sz w:val="22"/>
          <w:szCs w:val="22"/>
          <w:lang w:val="en-GB"/>
        </w:rPr>
        <w:t xml:space="preserve">. The strong counter-cyclical fiscal policy was the main force compensating for the negative </w:t>
      </w:r>
      <w:r w:rsidR="007B4C07" w:rsidRPr="008D3C1A">
        <w:rPr>
          <w:rFonts w:ascii="Times New Roman" w:hAnsi="Times New Roman"/>
          <w:sz w:val="22"/>
          <w:szCs w:val="22"/>
          <w:lang w:val="en-GB"/>
        </w:rPr>
        <w:t xml:space="preserve">external </w:t>
      </w:r>
      <w:r w:rsidR="007F1269" w:rsidRPr="008D3C1A">
        <w:rPr>
          <w:rFonts w:ascii="Times New Roman" w:hAnsi="Times New Roman"/>
          <w:sz w:val="22"/>
          <w:szCs w:val="22"/>
          <w:lang w:val="en-GB"/>
        </w:rPr>
        <w:t xml:space="preserve">shocks. The domestic economy </w:t>
      </w:r>
      <w:r w:rsidR="007B4C07" w:rsidRPr="008D3C1A">
        <w:rPr>
          <w:rFonts w:ascii="Times New Roman" w:hAnsi="Times New Roman"/>
          <w:sz w:val="22"/>
          <w:szCs w:val="22"/>
          <w:lang w:val="en-GB"/>
        </w:rPr>
        <w:t xml:space="preserve">(GDP non-exported) </w:t>
      </w:r>
      <w:r w:rsidR="0041771A" w:rsidRPr="008D3C1A">
        <w:rPr>
          <w:rFonts w:ascii="Times New Roman" w:hAnsi="Times New Roman"/>
          <w:sz w:val="22"/>
          <w:szCs w:val="22"/>
          <w:lang w:val="en-GB"/>
        </w:rPr>
        <w:t xml:space="preserve">already </w:t>
      </w:r>
      <w:r w:rsidR="007F1269" w:rsidRPr="008D3C1A">
        <w:rPr>
          <w:rFonts w:ascii="Times New Roman" w:hAnsi="Times New Roman"/>
          <w:sz w:val="22"/>
          <w:szCs w:val="22"/>
          <w:lang w:val="en-GB"/>
        </w:rPr>
        <w:t>exhibit</w:t>
      </w:r>
      <w:r w:rsidR="00B845FA" w:rsidRPr="008D3C1A">
        <w:rPr>
          <w:rFonts w:ascii="Times New Roman" w:hAnsi="Times New Roman"/>
          <w:sz w:val="22"/>
          <w:szCs w:val="22"/>
          <w:lang w:val="en-GB"/>
        </w:rPr>
        <w:t>ed</w:t>
      </w:r>
      <w:r w:rsidR="007F1269" w:rsidRPr="008D3C1A">
        <w:rPr>
          <w:rFonts w:ascii="Times New Roman" w:hAnsi="Times New Roman"/>
          <w:sz w:val="22"/>
          <w:szCs w:val="22"/>
          <w:lang w:val="en-GB"/>
        </w:rPr>
        <w:t xml:space="preserve"> a significant recovery push by the last quarter of 2009</w:t>
      </w:r>
      <w:r w:rsidR="0041771A" w:rsidRPr="008D3C1A">
        <w:rPr>
          <w:rFonts w:ascii="Times New Roman" w:hAnsi="Times New Roman"/>
          <w:sz w:val="22"/>
          <w:szCs w:val="22"/>
          <w:lang w:val="en-GB"/>
        </w:rPr>
        <w:t>, outlining the effectiveness of the c</w:t>
      </w:r>
      <w:r w:rsidR="007F1269" w:rsidRPr="008D3C1A">
        <w:rPr>
          <w:rFonts w:ascii="Times New Roman" w:hAnsi="Times New Roman"/>
          <w:sz w:val="22"/>
          <w:szCs w:val="22"/>
          <w:lang w:val="en-GB"/>
        </w:rPr>
        <w:t>ounter-cyclical fiscal policy</w:t>
      </w:r>
      <w:r w:rsidR="00F31B04" w:rsidRPr="008D3C1A">
        <w:rPr>
          <w:rFonts w:ascii="Times New Roman" w:hAnsi="Times New Roman"/>
          <w:sz w:val="22"/>
          <w:szCs w:val="22"/>
          <w:lang w:val="en-GB"/>
        </w:rPr>
        <w:t>.</w:t>
      </w:r>
    </w:p>
    <w:p w:rsidR="00A429CD" w:rsidRPr="008D3C1A" w:rsidRDefault="000269A3" w:rsidP="004E552D">
      <w:pPr>
        <w:spacing w:after="120" w:line="360" w:lineRule="auto"/>
        <w:jc w:val="both"/>
        <w:rPr>
          <w:sz w:val="22"/>
          <w:szCs w:val="22"/>
          <w:lang w:val="en-GB"/>
        </w:rPr>
      </w:pPr>
      <w:r w:rsidRPr="008D3C1A">
        <w:rPr>
          <w:sz w:val="22"/>
          <w:szCs w:val="22"/>
          <w:lang w:val="en-GB"/>
        </w:rPr>
        <w:tab/>
      </w:r>
      <w:r w:rsidR="00B82D3A" w:rsidRPr="008D3C1A">
        <w:rPr>
          <w:sz w:val="22"/>
          <w:szCs w:val="22"/>
          <w:lang w:val="en-GB"/>
        </w:rPr>
        <w:t>The</w:t>
      </w:r>
      <w:r w:rsidR="00A429CD" w:rsidRPr="008D3C1A">
        <w:rPr>
          <w:sz w:val="22"/>
          <w:szCs w:val="22"/>
          <w:lang w:val="en-GB"/>
        </w:rPr>
        <w:t xml:space="preserve"> counter-cyclical behavio</w:t>
      </w:r>
      <w:r w:rsidR="0041771A" w:rsidRPr="008D3C1A">
        <w:rPr>
          <w:sz w:val="22"/>
          <w:szCs w:val="22"/>
          <w:lang w:val="en-GB"/>
        </w:rPr>
        <w:t>u</w:t>
      </w:r>
      <w:r w:rsidR="00A429CD" w:rsidRPr="008D3C1A">
        <w:rPr>
          <w:sz w:val="22"/>
          <w:szCs w:val="22"/>
          <w:lang w:val="en-GB"/>
        </w:rPr>
        <w:t xml:space="preserve">r of the Treasury </w:t>
      </w:r>
      <w:r w:rsidR="00A174A2" w:rsidRPr="008D3C1A">
        <w:rPr>
          <w:sz w:val="22"/>
          <w:szCs w:val="22"/>
          <w:lang w:val="en-GB"/>
        </w:rPr>
        <w:t>had to</w:t>
      </w:r>
      <w:r w:rsidR="00A429CD" w:rsidRPr="008D3C1A">
        <w:rPr>
          <w:sz w:val="22"/>
          <w:szCs w:val="22"/>
          <w:lang w:val="en-GB"/>
        </w:rPr>
        <w:t xml:space="preserve"> coexist with huge </w:t>
      </w:r>
      <w:r w:rsidR="00A174A2" w:rsidRPr="008D3C1A">
        <w:rPr>
          <w:sz w:val="22"/>
          <w:szCs w:val="22"/>
          <w:lang w:val="en-GB"/>
        </w:rPr>
        <w:t>outflows</w:t>
      </w:r>
      <w:r w:rsidR="00A429CD" w:rsidRPr="008D3C1A">
        <w:rPr>
          <w:sz w:val="22"/>
          <w:szCs w:val="22"/>
          <w:lang w:val="en-GB"/>
        </w:rPr>
        <w:t xml:space="preserve"> of </w:t>
      </w:r>
      <w:r w:rsidR="00A174A2" w:rsidRPr="008D3C1A">
        <w:rPr>
          <w:sz w:val="22"/>
          <w:szCs w:val="22"/>
          <w:lang w:val="en-GB"/>
        </w:rPr>
        <w:t>funds from</w:t>
      </w:r>
      <w:r w:rsidR="00A429CD" w:rsidRPr="008D3C1A">
        <w:rPr>
          <w:sz w:val="22"/>
          <w:szCs w:val="22"/>
          <w:lang w:val="en-GB"/>
        </w:rPr>
        <w:t xml:space="preserve"> resident</w:t>
      </w:r>
      <w:r w:rsidR="00A174A2" w:rsidRPr="008D3C1A">
        <w:rPr>
          <w:sz w:val="22"/>
          <w:szCs w:val="22"/>
          <w:lang w:val="en-GB"/>
        </w:rPr>
        <w:t>s</w:t>
      </w:r>
      <w:r w:rsidR="00A429CD" w:rsidRPr="008D3C1A">
        <w:rPr>
          <w:sz w:val="22"/>
          <w:szCs w:val="22"/>
          <w:lang w:val="en-GB"/>
        </w:rPr>
        <w:t xml:space="preserve">, principally the </w:t>
      </w:r>
      <w:r w:rsidR="00A174A2" w:rsidRPr="008D3C1A">
        <w:rPr>
          <w:sz w:val="22"/>
          <w:szCs w:val="22"/>
          <w:lang w:val="en-GB"/>
        </w:rPr>
        <w:t>private social security firms</w:t>
      </w:r>
      <w:r w:rsidR="00785579" w:rsidRPr="008D3C1A">
        <w:rPr>
          <w:sz w:val="22"/>
          <w:szCs w:val="22"/>
          <w:lang w:val="en-GB"/>
        </w:rPr>
        <w:t xml:space="preserve">, which transferred </w:t>
      </w:r>
      <w:r w:rsidR="00B82D3A" w:rsidRPr="008D3C1A">
        <w:rPr>
          <w:sz w:val="22"/>
          <w:szCs w:val="22"/>
          <w:lang w:val="en-GB"/>
        </w:rPr>
        <w:t xml:space="preserve">abroad </w:t>
      </w:r>
      <w:r w:rsidR="00785579" w:rsidRPr="008D3C1A">
        <w:rPr>
          <w:sz w:val="22"/>
          <w:szCs w:val="22"/>
          <w:lang w:val="en-GB"/>
        </w:rPr>
        <w:t xml:space="preserve">the </w:t>
      </w:r>
      <w:r w:rsidR="00785579" w:rsidRPr="008D3C1A">
        <w:rPr>
          <w:sz w:val="22"/>
          <w:szCs w:val="22"/>
          <w:lang w:val="en-GB"/>
        </w:rPr>
        <w:lastRenderedPageBreak/>
        <w:t>equivalent of 10</w:t>
      </w:r>
      <w:r w:rsidR="005024D3" w:rsidRPr="008D3C1A">
        <w:rPr>
          <w:sz w:val="22"/>
          <w:szCs w:val="22"/>
          <w:lang w:val="en-GB"/>
        </w:rPr>
        <w:t xml:space="preserve"> per cent</w:t>
      </w:r>
      <w:r w:rsidR="00785579" w:rsidRPr="008D3C1A">
        <w:rPr>
          <w:sz w:val="22"/>
          <w:szCs w:val="22"/>
          <w:lang w:val="en-GB"/>
        </w:rPr>
        <w:t xml:space="preserve"> of GDP in 2009</w:t>
      </w:r>
      <w:r w:rsidR="00A429CD" w:rsidRPr="008D3C1A">
        <w:rPr>
          <w:sz w:val="22"/>
          <w:szCs w:val="22"/>
          <w:lang w:val="en-GB"/>
        </w:rPr>
        <w:t>.</w:t>
      </w:r>
      <w:r w:rsidR="00393A86" w:rsidRPr="008D3C1A">
        <w:rPr>
          <w:rStyle w:val="Refdenotaalpie"/>
          <w:sz w:val="22"/>
          <w:szCs w:val="22"/>
          <w:lang w:val="en-GB"/>
        </w:rPr>
        <w:footnoteReference w:id="15"/>
      </w:r>
      <w:r w:rsidR="00B845FA" w:rsidRPr="008D3C1A">
        <w:rPr>
          <w:sz w:val="22"/>
          <w:szCs w:val="22"/>
          <w:lang w:val="en-GB"/>
        </w:rPr>
        <w:t>T</w:t>
      </w:r>
      <w:r w:rsidR="00A429CD" w:rsidRPr="008D3C1A">
        <w:rPr>
          <w:sz w:val="22"/>
          <w:szCs w:val="22"/>
          <w:lang w:val="en-GB"/>
        </w:rPr>
        <w:t>he liberali</w:t>
      </w:r>
      <w:r w:rsidR="00EA5066" w:rsidRPr="008D3C1A">
        <w:rPr>
          <w:sz w:val="22"/>
          <w:szCs w:val="22"/>
          <w:lang w:val="en-GB"/>
        </w:rPr>
        <w:t>s</w:t>
      </w:r>
      <w:r w:rsidR="00A429CD" w:rsidRPr="008D3C1A">
        <w:rPr>
          <w:sz w:val="22"/>
          <w:szCs w:val="22"/>
          <w:lang w:val="en-GB"/>
        </w:rPr>
        <w:t xml:space="preserve">ation of residents’ capital flows hampered macroeconomic management for their pro-cyclicality </w:t>
      </w:r>
      <w:r w:rsidR="00393A86" w:rsidRPr="008D3C1A">
        <w:rPr>
          <w:sz w:val="22"/>
          <w:szCs w:val="22"/>
          <w:lang w:val="en-GB"/>
        </w:rPr>
        <w:t>joined</w:t>
      </w:r>
      <w:r w:rsidR="00785579" w:rsidRPr="008D3C1A">
        <w:rPr>
          <w:sz w:val="22"/>
          <w:szCs w:val="22"/>
          <w:lang w:val="en-GB"/>
        </w:rPr>
        <w:t xml:space="preserve"> that of </w:t>
      </w:r>
      <w:r w:rsidR="00A429CD" w:rsidRPr="008D3C1A">
        <w:rPr>
          <w:sz w:val="22"/>
          <w:szCs w:val="22"/>
          <w:lang w:val="en-GB"/>
        </w:rPr>
        <w:t xml:space="preserve">the financial flows of </w:t>
      </w:r>
      <w:r w:rsidR="00B606BC" w:rsidRPr="008D3C1A">
        <w:rPr>
          <w:sz w:val="22"/>
          <w:szCs w:val="22"/>
          <w:lang w:val="en-GB"/>
        </w:rPr>
        <w:t>non-residents</w:t>
      </w:r>
      <w:r w:rsidR="00A429CD" w:rsidRPr="008D3C1A">
        <w:rPr>
          <w:sz w:val="22"/>
          <w:szCs w:val="22"/>
          <w:lang w:val="en-GB"/>
        </w:rPr>
        <w:t>. The liberali</w:t>
      </w:r>
      <w:r w:rsidR="00EA5066" w:rsidRPr="008D3C1A">
        <w:rPr>
          <w:sz w:val="22"/>
          <w:szCs w:val="22"/>
          <w:lang w:val="en-GB"/>
        </w:rPr>
        <w:t>s</w:t>
      </w:r>
      <w:r w:rsidR="00A429CD" w:rsidRPr="008D3C1A">
        <w:rPr>
          <w:sz w:val="22"/>
          <w:szCs w:val="22"/>
          <w:lang w:val="en-GB"/>
        </w:rPr>
        <w:t>ation of the capital account continued to be costly for development</w:t>
      </w:r>
      <w:r w:rsidR="00785579" w:rsidRPr="008D3C1A">
        <w:rPr>
          <w:sz w:val="22"/>
          <w:szCs w:val="22"/>
          <w:lang w:val="en-GB"/>
        </w:rPr>
        <w:t>.</w:t>
      </w:r>
    </w:p>
    <w:p w:rsidR="000317D3" w:rsidRPr="008D3C1A" w:rsidRDefault="000317D3" w:rsidP="004E552D">
      <w:pPr>
        <w:spacing w:after="120" w:line="360" w:lineRule="auto"/>
        <w:ind w:firstLine="708"/>
        <w:rPr>
          <w:sz w:val="22"/>
          <w:szCs w:val="22"/>
          <w:lang w:val="en-GB"/>
        </w:rPr>
      </w:pPr>
      <w:r w:rsidRPr="008D3C1A">
        <w:rPr>
          <w:sz w:val="22"/>
          <w:szCs w:val="22"/>
          <w:lang w:val="en-GB"/>
        </w:rPr>
        <w:t>By the last quarter of 2009</w:t>
      </w:r>
      <w:r w:rsidR="0041771A" w:rsidRPr="008D3C1A">
        <w:rPr>
          <w:sz w:val="22"/>
          <w:szCs w:val="22"/>
          <w:lang w:val="en-GB"/>
        </w:rPr>
        <w:t>,</w:t>
      </w:r>
      <w:r w:rsidRPr="008D3C1A">
        <w:rPr>
          <w:sz w:val="22"/>
          <w:szCs w:val="22"/>
          <w:lang w:val="en-GB"/>
        </w:rPr>
        <w:t xml:space="preserve"> the economic recovery was well advanced, </w:t>
      </w:r>
      <w:r w:rsidR="0041771A" w:rsidRPr="008D3C1A">
        <w:rPr>
          <w:sz w:val="22"/>
          <w:szCs w:val="22"/>
          <w:lang w:val="en-GB"/>
        </w:rPr>
        <w:t xml:space="preserve">although it </w:t>
      </w:r>
      <w:r w:rsidRPr="008D3C1A">
        <w:rPr>
          <w:sz w:val="22"/>
          <w:szCs w:val="22"/>
          <w:lang w:val="en-GB"/>
        </w:rPr>
        <w:t xml:space="preserve">was momentarily stopped by </w:t>
      </w:r>
      <w:r w:rsidR="002F27BE" w:rsidRPr="008D3C1A">
        <w:rPr>
          <w:sz w:val="22"/>
          <w:szCs w:val="22"/>
          <w:lang w:val="en-GB"/>
        </w:rPr>
        <w:t>a</w:t>
      </w:r>
      <w:r w:rsidRPr="008D3C1A">
        <w:rPr>
          <w:sz w:val="22"/>
          <w:szCs w:val="22"/>
          <w:lang w:val="en-GB"/>
        </w:rPr>
        <w:t xml:space="preserve"> severe earthquake </w:t>
      </w:r>
      <w:r w:rsidR="002F27BE" w:rsidRPr="008D3C1A">
        <w:rPr>
          <w:sz w:val="22"/>
          <w:szCs w:val="22"/>
          <w:lang w:val="en-GB"/>
        </w:rPr>
        <w:t>on</w:t>
      </w:r>
      <w:r w:rsidR="0041771A" w:rsidRPr="008D3C1A">
        <w:rPr>
          <w:sz w:val="22"/>
          <w:szCs w:val="22"/>
          <w:lang w:val="en-GB"/>
        </w:rPr>
        <w:t>27</w:t>
      </w:r>
      <w:r w:rsidR="0041771A" w:rsidRPr="00045A06">
        <w:rPr>
          <w:sz w:val="22"/>
          <w:szCs w:val="22"/>
          <w:vertAlign w:val="superscript"/>
          <w:lang w:val="en-GB"/>
        </w:rPr>
        <w:t>th</w:t>
      </w:r>
      <w:r w:rsidRPr="008D3C1A">
        <w:rPr>
          <w:sz w:val="22"/>
          <w:szCs w:val="22"/>
          <w:lang w:val="en-GB"/>
        </w:rPr>
        <w:t xml:space="preserve">February 2010 (27F), only a few days before the end of President Bachelet’s government and the beginning of that of President </w:t>
      </w:r>
      <w:r w:rsidR="00610291" w:rsidRPr="008D3C1A">
        <w:rPr>
          <w:sz w:val="22"/>
          <w:szCs w:val="22"/>
          <w:lang w:val="en-GB"/>
        </w:rPr>
        <w:t>Pinero</w:t>
      </w:r>
      <w:r w:rsidRPr="008D3C1A">
        <w:rPr>
          <w:sz w:val="22"/>
          <w:szCs w:val="22"/>
          <w:lang w:val="en-GB"/>
        </w:rPr>
        <w:t>. In a few weeks</w:t>
      </w:r>
      <w:r w:rsidR="0041771A" w:rsidRPr="008D3C1A">
        <w:rPr>
          <w:sz w:val="22"/>
          <w:szCs w:val="22"/>
          <w:lang w:val="en-GB"/>
        </w:rPr>
        <w:t>,</w:t>
      </w:r>
      <w:r w:rsidRPr="008D3C1A">
        <w:rPr>
          <w:sz w:val="22"/>
          <w:szCs w:val="22"/>
          <w:lang w:val="en-GB"/>
        </w:rPr>
        <w:t xml:space="preserve"> the recovery recommenced. The high level of domestic demand, a </w:t>
      </w:r>
      <w:r w:rsidR="00F31B04" w:rsidRPr="008D3C1A">
        <w:rPr>
          <w:sz w:val="22"/>
          <w:szCs w:val="22"/>
          <w:lang w:val="en-GB"/>
        </w:rPr>
        <w:t>consequence</w:t>
      </w:r>
      <w:r w:rsidRPr="008D3C1A">
        <w:rPr>
          <w:sz w:val="22"/>
          <w:szCs w:val="22"/>
          <w:lang w:val="en-GB"/>
        </w:rPr>
        <w:t xml:space="preserve"> of the counter-cyclical policy of 2009, was </w:t>
      </w:r>
      <w:r w:rsidR="00336DEF">
        <w:rPr>
          <w:sz w:val="22"/>
          <w:szCs w:val="22"/>
          <w:lang w:val="en-GB"/>
        </w:rPr>
        <w:t xml:space="preserve">further </w:t>
      </w:r>
      <w:r w:rsidRPr="008D3C1A">
        <w:rPr>
          <w:sz w:val="22"/>
          <w:szCs w:val="22"/>
          <w:lang w:val="en-GB"/>
        </w:rPr>
        <w:t>increased by reconstruction costs following the 27F earthquake. Given that installed capacity was significantly underutili</w:t>
      </w:r>
      <w:r w:rsidR="00EA5066" w:rsidRPr="008D3C1A">
        <w:rPr>
          <w:sz w:val="22"/>
          <w:szCs w:val="22"/>
          <w:lang w:val="en-GB"/>
        </w:rPr>
        <w:t>s</w:t>
      </w:r>
      <w:r w:rsidRPr="008D3C1A">
        <w:rPr>
          <w:sz w:val="22"/>
          <w:szCs w:val="22"/>
          <w:lang w:val="en-GB"/>
        </w:rPr>
        <w:t>ed</w:t>
      </w:r>
      <w:r w:rsidR="00FF0AA7" w:rsidRPr="008D3C1A">
        <w:rPr>
          <w:sz w:val="22"/>
          <w:szCs w:val="22"/>
          <w:lang w:val="en-GB"/>
        </w:rPr>
        <w:t>–</w:t>
      </w:r>
      <w:r w:rsidRPr="008D3C1A">
        <w:rPr>
          <w:sz w:val="22"/>
          <w:szCs w:val="22"/>
          <w:lang w:val="en-GB"/>
        </w:rPr>
        <w:t xml:space="preserve">despite the destruction caused by the earthquake and the subsequent </w:t>
      </w:r>
      <w:r w:rsidRPr="008D3C1A">
        <w:rPr>
          <w:i/>
          <w:sz w:val="22"/>
          <w:szCs w:val="22"/>
          <w:lang w:val="en-GB"/>
        </w:rPr>
        <w:t>tsunami</w:t>
      </w:r>
      <w:r w:rsidR="00B5077C" w:rsidRPr="008D3C1A">
        <w:rPr>
          <w:rStyle w:val="Refdenotaalpie"/>
          <w:i/>
          <w:sz w:val="22"/>
          <w:szCs w:val="22"/>
          <w:lang w:val="en-GB"/>
        </w:rPr>
        <w:footnoteReference w:id="16"/>
      </w:r>
      <w:r w:rsidR="00FF0AA7" w:rsidRPr="008D3C1A">
        <w:rPr>
          <w:i/>
          <w:sz w:val="22"/>
          <w:szCs w:val="22"/>
          <w:lang w:val="en-GB"/>
        </w:rPr>
        <w:t>–</w:t>
      </w:r>
      <w:r w:rsidRPr="008D3C1A">
        <w:rPr>
          <w:sz w:val="22"/>
          <w:szCs w:val="22"/>
          <w:lang w:val="en-GB"/>
        </w:rPr>
        <w:t xml:space="preserve"> the accelerated public expenditure was consistent with a move toward macroeconomic equilibrium </w:t>
      </w:r>
      <w:r w:rsidR="00F31B04" w:rsidRPr="008D3C1A">
        <w:rPr>
          <w:sz w:val="22"/>
          <w:szCs w:val="22"/>
          <w:lang w:val="en-GB"/>
        </w:rPr>
        <w:t xml:space="preserve">(using capacity) </w:t>
      </w:r>
      <w:r w:rsidR="00393A86" w:rsidRPr="008D3C1A">
        <w:rPr>
          <w:sz w:val="22"/>
          <w:szCs w:val="22"/>
          <w:lang w:val="en-GB"/>
        </w:rPr>
        <w:t>as long as</w:t>
      </w:r>
      <w:r w:rsidRPr="008D3C1A">
        <w:rPr>
          <w:sz w:val="22"/>
          <w:szCs w:val="22"/>
          <w:lang w:val="en-GB"/>
        </w:rPr>
        <w:t xml:space="preserve"> a recessionary gap </w:t>
      </w:r>
      <w:r w:rsidR="00393A86" w:rsidRPr="008D3C1A">
        <w:rPr>
          <w:sz w:val="22"/>
          <w:szCs w:val="22"/>
          <w:lang w:val="en-GB"/>
        </w:rPr>
        <w:t>prevailed</w:t>
      </w:r>
      <w:r w:rsidR="0058182F" w:rsidRPr="008D3C1A">
        <w:rPr>
          <w:sz w:val="22"/>
          <w:szCs w:val="22"/>
          <w:lang w:val="en-GB"/>
        </w:rPr>
        <w:t>.</w:t>
      </w:r>
    </w:p>
    <w:p w:rsidR="00793BF6" w:rsidRPr="008D3C1A" w:rsidRDefault="00E52ACD" w:rsidP="004E552D">
      <w:pPr>
        <w:pStyle w:val="Cuadrculamedia1-nfasis21"/>
        <w:spacing w:after="120" w:line="360" w:lineRule="auto"/>
        <w:ind w:left="62" w:firstLine="646"/>
        <w:jc w:val="both"/>
        <w:rPr>
          <w:sz w:val="22"/>
          <w:szCs w:val="22"/>
          <w:lang w:val="en-GB"/>
        </w:rPr>
      </w:pPr>
      <w:r w:rsidRPr="008D3C1A">
        <w:rPr>
          <w:sz w:val="22"/>
          <w:szCs w:val="22"/>
          <w:lang w:val="en-GB"/>
        </w:rPr>
        <w:t>I</w:t>
      </w:r>
      <w:r w:rsidR="004D3955" w:rsidRPr="008D3C1A">
        <w:rPr>
          <w:sz w:val="22"/>
          <w:szCs w:val="22"/>
          <w:lang w:val="en-GB"/>
        </w:rPr>
        <w:t>n</w:t>
      </w:r>
      <w:r w:rsidR="00336DEF">
        <w:rPr>
          <w:sz w:val="22"/>
          <w:szCs w:val="22"/>
          <w:lang w:val="en-GB"/>
        </w:rPr>
        <w:t>deed, in</w:t>
      </w:r>
      <w:r w:rsidR="004D3955" w:rsidRPr="008D3C1A">
        <w:rPr>
          <w:sz w:val="22"/>
          <w:szCs w:val="22"/>
          <w:lang w:val="en-GB"/>
        </w:rPr>
        <w:t xml:space="preserve"> 2010</w:t>
      </w:r>
      <w:r w:rsidR="0041771A" w:rsidRPr="008D3C1A">
        <w:rPr>
          <w:sz w:val="22"/>
          <w:szCs w:val="22"/>
          <w:lang w:val="en-GB"/>
        </w:rPr>
        <w:t>,</w:t>
      </w:r>
      <w:r w:rsidR="004D3955" w:rsidRPr="008D3C1A">
        <w:rPr>
          <w:sz w:val="22"/>
          <w:szCs w:val="22"/>
          <w:lang w:val="en-GB"/>
        </w:rPr>
        <w:t xml:space="preserve"> reconstruction spending </w:t>
      </w:r>
      <w:r w:rsidR="0041771A" w:rsidRPr="008D3C1A">
        <w:rPr>
          <w:sz w:val="22"/>
          <w:szCs w:val="22"/>
          <w:lang w:val="en-GB"/>
        </w:rPr>
        <w:t xml:space="preserve">strongly </w:t>
      </w:r>
      <w:r w:rsidR="004D3955" w:rsidRPr="008D3C1A">
        <w:rPr>
          <w:sz w:val="22"/>
          <w:szCs w:val="22"/>
          <w:lang w:val="en-GB"/>
        </w:rPr>
        <w:t xml:space="preserve">contributed </w:t>
      </w:r>
      <w:r w:rsidR="0041771A" w:rsidRPr="008D3C1A">
        <w:rPr>
          <w:sz w:val="22"/>
          <w:szCs w:val="22"/>
          <w:lang w:val="en-GB"/>
        </w:rPr>
        <w:t>to</w:t>
      </w:r>
      <w:r w:rsidR="004D3955" w:rsidRPr="008D3C1A">
        <w:rPr>
          <w:sz w:val="22"/>
          <w:szCs w:val="22"/>
          <w:lang w:val="en-GB"/>
        </w:rPr>
        <w:t xml:space="preserve"> the reactivation of domestic demand and </w:t>
      </w:r>
      <w:r w:rsidR="0041771A" w:rsidRPr="008D3C1A">
        <w:rPr>
          <w:sz w:val="22"/>
          <w:szCs w:val="22"/>
          <w:lang w:val="en-GB"/>
        </w:rPr>
        <w:t>thus</w:t>
      </w:r>
      <w:r w:rsidR="004D3955" w:rsidRPr="008D3C1A">
        <w:rPr>
          <w:sz w:val="22"/>
          <w:szCs w:val="22"/>
          <w:lang w:val="en-GB"/>
        </w:rPr>
        <w:t xml:space="preserve"> actual </w:t>
      </w:r>
      <w:r w:rsidRPr="008D3C1A">
        <w:rPr>
          <w:sz w:val="22"/>
          <w:szCs w:val="22"/>
          <w:lang w:val="en-GB"/>
        </w:rPr>
        <w:t>GDP</w:t>
      </w:r>
      <w:r w:rsidR="004D3955" w:rsidRPr="008D3C1A">
        <w:rPr>
          <w:sz w:val="22"/>
          <w:szCs w:val="22"/>
          <w:lang w:val="en-GB"/>
        </w:rPr>
        <w:t>, without inflationary pressures.Of course</w:t>
      </w:r>
      <w:r w:rsidRPr="008D3C1A">
        <w:rPr>
          <w:sz w:val="22"/>
          <w:szCs w:val="22"/>
          <w:lang w:val="en-GB"/>
        </w:rPr>
        <w:t>,</w:t>
      </w:r>
      <w:r w:rsidR="004D3955" w:rsidRPr="008D3C1A">
        <w:rPr>
          <w:sz w:val="22"/>
          <w:szCs w:val="22"/>
          <w:lang w:val="en-GB"/>
        </w:rPr>
        <w:t xml:space="preserve"> the </w:t>
      </w:r>
      <w:r w:rsidR="00F84566" w:rsidRPr="008D3C1A">
        <w:rPr>
          <w:sz w:val="22"/>
          <w:szCs w:val="22"/>
          <w:lang w:val="en-GB"/>
        </w:rPr>
        <w:t xml:space="preserve">recessive </w:t>
      </w:r>
      <w:r w:rsidR="004D3955" w:rsidRPr="008D3C1A">
        <w:rPr>
          <w:sz w:val="22"/>
          <w:szCs w:val="22"/>
          <w:lang w:val="en-GB"/>
        </w:rPr>
        <w:t>gap was being reduced during the adjustment period, increasing employment and stimulating capital formation</w:t>
      </w:r>
      <w:r w:rsidR="0041771A" w:rsidRPr="008D3C1A">
        <w:rPr>
          <w:sz w:val="22"/>
          <w:szCs w:val="22"/>
          <w:lang w:val="en-GB"/>
        </w:rPr>
        <w:t xml:space="preserve">, although </w:t>
      </w:r>
      <w:r w:rsidR="00F84566" w:rsidRPr="008D3C1A">
        <w:rPr>
          <w:sz w:val="22"/>
          <w:szCs w:val="22"/>
          <w:lang w:val="en-GB"/>
        </w:rPr>
        <w:t>t</w:t>
      </w:r>
      <w:r w:rsidR="00011A31" w:rsidRPr="008D3C1A">
        <w:rPr>
          <w:sz w:val="22"/>
          <w:szCs w:val="22"/>
          <w:lang w:val="en-GB"/>
        </w:rPr>
        <w:t xml:space="preserve">here were no structural progresses in the generation of GDP, manufacturing remained depressed and export diversification stagnated. It was rather the recovery effect. </w:t>
      </w:r>
      <w:r w:rsidR="002F27BE" w:rsidRPr="008D3C1A">
        <w:rPr>
          <w:sz w:val="22"/>
          <w:szCs w:val="22"/>
          <w:lang w:val="en-GB"/>
        </w:rPr>
        <w:t>With recovery, employment and</w:t>
      </w:r>
      <w:r w:rsidR="00667073" w:rsidRPr="008D3C1A">
        <w:rPr>
          <w:sz w:val="22"/>
          <w:szCs w:val="22"/>
          <w:lang w:val="en-GB"/>
        </w:rPr>
        <w:t xml:space="preserve"> income distribution improved</w:t>
      </w:r>
      <w:r w:rsidR="0041771A" w:rsidRPr="008D3C1A">
        <w:rPr>
          <w:sz w:val="22"/>
          <w:szCs w:val="22"/>
          <w:lang w:val="en-GB"/>
        </w:rPr>
        <w:t>, albeit</w:t>
      </w:r>
      <w:r w:rsidR="00667073" w:rsidRPr="008D3C1A">
        <w:rPr>
          <w:sz w:val="22"/>
          <w:szCs w:val="22"/>
          <w:lang w:val="en-GB"/>
        </w:rPr>
        <w:t xml:space="preserve"> returning to </w:t>
      </w:r>
      <w:r w:rsidR="0041771A" w:rsidRPr="008D3C1A">
        <w:rPr>
          <w:sz w:val="22"/>
          <w:szCs w:val="22"/>
          <w:lang w:val="en-GB"/>
        </w:rPr>
        <w:t xml:space="preserve">the </w:t>
      </w:r>
      <w:r w:rsidR="00667073" w:rsidRPr="008D3C1A">
        <w:rPr>
          <w:sz w:val="22"/>
          <w:szCs w:val="22"/>
          <w:lang w:val="en-GB"/>
        </w:rPr>
        <w:t>social achievements already conquered by the mid</w:t>
      </w:r>
      <w:r w:rsidR="00FD023E" w:rsidRPr="008D3C1A">
        <w:rPr>
          <w:sz w:val="22"/>
          <w:szCs w:val="22"/>
          <w:lang w:val="en-GB"/>
        </w:rPr>
        <w:t>-</w:t>
      </w:r>
      <w:r w:rsidR="00667073" w:rsidRPr="008D3C1A">
        <w:rPr>
          <w:sz w:val="22"/>
          <w:szCs w:val="22"/>
          <w:lang w:val="en-GB"/>
        </w:rPr>
        <w:t xml:space="preserve">1990s. </w:t>
      </w:r>
    </w:p>
    <w:p w:rsidR="004D3955" w:rsidRPr="008D3C1A" w:rsidRDefault="00E52ACD" w:rsidP="00AC15A7">
      <w:pPr>
        <w:pStyle w:val="Cuadrculamedia1-nfasis21"/>
        <w:spacing w:line="360" w:lineRule="auto"/>
        <w:ind w:left="62" w:firstLine="646"/>
        <w:jc w:val="both"/>
        <w:rPr>
          <w:sz w:val="22"/>
          <w:szCs w:val="22"/>
          <w:lang w:val="en-GB"/>
        </w:rPr>
      </w:pPr>
      <w:r w:rsidRPr="008D3C1A">
        <w:rPr>
          <w:sz w:val="22"/>
          <w:szCs w:val="22"/>
          <w:lang w:val="en-GB"/>
        </w:rPr>
        <w:t>Actual</w:t>
      </w:r>
      <w:r w:rsidR="004D3955" w:rsidRPr="008D3C1A">
        <w:rPr>
          <w:sz w:val="22"/>
          <w:szCs w:val="22"/>
          <w:lang w:val="en-GB"/>
        </w:rPr>
        <w:t xml:space="preserve"> GDP was increasing strongly until 2012, with an average 5.</w:t>
      </w:r>
      <w:r w:rsidR="00F84566" w:rsidRPr="008D3C1A">
        <w:rPr>
          <w:sz w:val="22"/>
          <w:szCs w:val="22"/>
          <w:lang w:val="en-GB"/>
        </w:rPr>
        <w:t>7</w:t>
      </w:r>
      <w:r w:rsidR="005024D3" w:rsidRPr="008D3C1A">
        <w:rPr>
          <w:sz w:val="22"/>
          <w:szCs w:val="22"/>
          <w:lang w:val="en-GB"/>
        </w:rPr>
        <w:t xml:space="preserve"> per cent</w:t>
      </w:r>
      <w:r w:rsidR="004D3955" w:rsidRPr="008D3C1A">
        <w:rPr>
          <w:sz w:val="22"/>
          <w:szCs w:val="22"/>
          <w:lang w:val="en-GB"/>
        </w:rPr>
        <w:t xml:space="preserve"> annual rate over the </w:t>
      </w:r>
      <w:r w:rsidR="0041771A" w:rsidRPr="008D3C1A">
        <w:rPr>
          <w:sz w:val="22"/>
          <w:szCs w:val="22"/>
          <w:lang w:val="en-GB"/>
        </w:rPr>
        <w:t>three-</w:t>
      </w:r>
      <w:r w:rsidR="004D3955" w:rsidRPr="008D3C1A">
        <w:rPr>
          <w:sz w:val="22"/>
          <w:szCs w:val="22"/>
          <w:lang w:val="en-GB"/>
        </w:rPr>
        <w:t xml:space="preserve">year period. To avoid the repeated error of </w:t>
      </w:r>
      <w:r w:rsidRPr="008D3C1A">
        <w:rPr>
          <w:sz w:val="22"/>
          <w:szCs w:val="22"/>
          <w:lang w:val="en-GB"/>
        </w:rPr>
        <w:t>confusing sustainable growth with recovery of economic activity</w:t>
      </w:r>
      <w:r w:rsidR="004D3955" w:rsidRPr="008D3C1A">
        <w:rPr>
          <w:sz w:val="22"/>
          <w:szCs w:val="22"/>
          <w:lang w:val="en-GB"/>
        </w:rPr>
        <w:t xml:space="preserve">, it is necessary to measure performance </w:t>
      </w:r>
      <w:r w:rsidRPr="008D3C1A">
        <w:rPr>
          <w:sz w:val="22"/>
          <w:szCs w:val="22"/>
          <w:lang w:val="en-GB"/>
        </w:rPr>
        <w:t>from peak to peak</w:t>
      </w:r>
      <w:r w:rsidR="004D3955" w:rsidRPr="008D3C1A">
        <w:rPr>
          <w:sz w:val="22"/>
          <w:szCs w:val="22"/>
          <w:lang w:val="en-GB"/>
        </w:rPr>
        <w:t xml:space="preserve">. If </w:t>
      </w:r>
      <w:r w:rsidRPr="008D3C1A">
        <w:rPr>
          <w:sz w:val="22"/>
          <w:szCs w:val="22"/>
          <w:lang w:val="en-GB"/>
        </w:rPr>
        <w:t>growth is measured</w:t>
      </w:r>
      <w:r w:rsidR="004D3955" w:rsidRPr="008D3C1A">
        <w:rPr>
          <w:sz w:val="22"/>
          <w:szCs w:val="22"/>
          <w:lang w:val="en-GB"/>
        </w:rPr>
        <w:t xml:space="preserve"> from </w:t>
      </w:r>
      <w:r w:rsidRPr="008D3C1A">
        <w:rPr>
          <w:sz w:val="22"/>
          <w:szCs w:val="22"/>
          <w:lang w:val="en-GB"/>
        </w:rPr>
        <w:t xml:space="preserve">the previous peak of </w:t>
      </w:r>
      <w:r w:rsidR="004D3955" w:rsidRPr="008D3C1A">
        <w:rPr>
          <w:sz w:val="22"/>
          <w:szCs w:val="22"/>
          <w:lang w:val="en-GB"/>
        </w:rPr>
        <w:t xml:space="preserve">2007, </w:t>
      </w:r>
      <w:r w:rsidRPr="008D3C1A">
        <w:rPr>
          <w:sz w:val="22"/>
          <w:szCs w:val="22"/>
          <w:lang w:val="en-GB"/>
        </w:rPr>
        <w:t>actual</w:t>
      </w:r>
      <w:r w:rsidR="004D3955" w:rsidRPr="008D3C1A">
        <w:rPr>
          <w:sz w:val="22"/>
          <w:szCs w:val="22"/>
          <w:lang w:val="en-GB"/>
        </w:rPr>
        <w:t xml:space="preserve"> GDP gr</w:t>
      </w:r>
      <w:r w:rsidRPr="008D3C1A">
        <w:rPr>
          <w:sz w:val="22"/>
          <w:szCs w:val="22"/>
          <w:lang w:val="en-GB"/>
        </w:rPr>
        <w:t>owthaveraged</w:t>
      </w:r>
      <w:r w:rsidR="004D3955" w:rsidRPr="008D3C1A">
        <w:rPr>
          <w:sz w:val="22"/>
          <w:szCs w:val="22"/>
          <w:lang w:val="en-GB"/>
        </w:rPr>
        <w:t xml:space="preserve"> 3.9</w:t>
      </w:r>
      <w:r w:rsidR="005024D3" w:rsidRPr="008D3C1A">
        <w:rPr>
          <w:sz w:val="22"/>
          <w:szCs w:val="22"/>
          <w:lang w:val="en-GB"/>
        </w:rPr>
        <w:t xml:space="preserve"> per cent</w:t>
      </w:r>
      <w:r w:rsidR="0041771A" w:rsidRPr="008D3C1A">
        <w:rPr>
          <w:sz w:val="22"/>
          <w:szCs w:val="22"/>
          <w:lang w:val="en-GB"/>
        </w:rPr>
        <w:t>, which</w:t>
      </w:r>
      <w:r w:rsidR="006B64EE" w:rsidRPr="008D3C1A">
        <w:rPr>
          <w:sz w:val="22"/>
          <w:szCs w:val="22"/>
          <w:lang w:val="en-GB"/>
        </w:rPr>
        <w:t xml:space="preserve"> is consistent with the fact that actual G</w:t>
      </w:r>
      <w:r w:rsidR="00793BF6" w:rsidRPr="008D3C1A">
        <w:rPr>
          <w:sz w:val="22"/>
          <w:szCs w:val="22"/>
          <w:lang w:val="en-GB"/>
        </w:rPr>
        <w:t>DP</w:t>
      </w:r>
      <w:r w:rsidR="006B64EE" w:rsidRPr="008D3C1A">
        <w:rPr>
          <w:sz w:val="22"/>
          <w:szCs w:val="22"/>
          <w:lang w:val="en-GB"/>
        </w:rPr>
        <w:t xml:space="preserve"> only rose 4.1</w:t>
      </w:r>
      <w:r w:rsidR="005024D3" w:rsidRPr="008D3C1A">
        <w:rPr>
          <w:sz w:val="22"/>
          <w:szCs w:val="22"/>
          <w:lang w:val="en-GB"/>
        </w:rPr>
        <w:t xml:space="preserve"> per cent</w:t>
      </w:r>
      <w:r w:rsidR="006B64EE" w:rsidRPr="008D3C1A">
        <w:rPr>
          <w:sz w:val="22"/>
          <w:szCs w:val="22"/>
          <w:lang w:val="en-GB"/>
        </w:rPr>
        <w:t xml:space="preserve"> in 2013. The economy had reached full capacity and the 4.1</w:t>
      </w:r>
      <w:r w:rsidR="005024D3" w:rsidRPr="008D3C1A">
        <w:rPr>
          <w:sz w:val="22"/>
          <w:szCs w:val="22"/>
          <w:lang w:val="en-GB"/>
        </w:rPr>
        <w:t xml:space="preserve"> per cent</w:t>
      </w:r>
      <w:r w:rsidR="0041771A" w:rsidRPr="008D3C1A">
        <w:rPr>
          <w:sz w:val="22"/>
          <w:szCs w:val="22"/>
          <w:lang w:val="en-GB"/>
        </w:rPr>
        <w:t>reflected the fact that</w:t>
      </w:r>
      <w:r w:rsidR="006B64EE" w:rsidRPr="008D3C1A">
        <w:rPr>
          <w:sz w:val="22"/>
          <w:szCs w:val="22"/>
          <w:lang w:val="en-GB"/>
        </w:rPr>
        <w:t xml:space="preserve"> potential GDP </w:t>
      </w:r>
      <w:r w:rsidR="00C919F6">
        <w:rPr>
          <w:sz w:val="22"/>
          <w:szCs w:val="22"/>
          <w:lang w:val="en-GB"/>
        </w:rPr>
        <w:t xml:space="preserve">growth </w:t>
      </w:r>
      <w:r w:rsidR="006B64EE" w:rsidRPr="008D3C1A">
        <w:rPr>
          <w:sz w:val="22"/>
          <w:szCs w:val="22"/>
          <w:lang w:val="en-GB"/>
        </w:rPr>
        <w:t>was closer to that figure than to 5.</w:t>
      </w:r>
      <w:r w:rsidR="00F84566" w:rsidRPr="008D3C1A">
        <w:rPr>
          <w:sz w:val="22"/>
          <w:szCs w:val="22"/>
          <w:lang w:val="en-GB"/>
        </w:rPr>
        <w:t>7</w:t>
      </w:r>
      <w:r w:rsidR="005024D3" w:rsidRPr="008D3C1A">
        <w:rPr>
          <w:sz w:val="22"/>
          <w:szCs w:val="22"/>
          <w:lang w:val="en-GB"/>
        </w:rPr>
        <w:t xml:space="preserve"> per cent</w:t>
      </w:r>
      <w:r w:rsidR="006B64EE" w:rsidRPr="008D3C1A">
        <w:rPr>
          <w:sz w:val="22"/>
          <w:szCs w:val="22"/>
          <w:lang w:val="en-GB"/>
        </w:rPr>
        <w:t>.</w:t>
      </w:r>
      <w:r w:rsidR="00B845FA" w:rsidRPr="008D3C1A">
        <w:rPr>
          <w:rStyle w:val="Refdenotaalpie"/>
          <w:sz w:val="22"/>
          <w:szCs w:val="22"/>
          <w:lang w:val="en-GB"/>
        </w:rPr>
        <w:footnoteReference w:id="17"/>
      </w:r>
      <w:r w:rsidR="004D3955" w:rsidRPr="008D3C1A">
        <w:rPr>
          <w:sz w:val="22"/>
          <w:szCs w:val="22"/>
          <w:lang w:val="en-GB"/>
        </w:rPr>
        <w:t xml:space="preserve"> It is </w:t>
      </w:r>
      <w:r w:rsidR="00F84566" w:rsidRPr="008D3C1A">
        <w:rPr>
          <w:sz w:val="22"/>
          <w:szCs w:val="22"/>
          <w:lang w:val="en-GB"/>
        </w:rPr>
        <w:t>s</w:t>
      </w:r>
      <w:r w:rsidR="00355F36" w:rsidRPr="008D3C1A">
        <w:rPr>
          <w:sz w:val="22"/>
          <w:szCs w:val="22"/>
          <w:lang w:val="en-GB"/>
        </w:rPr>
        <w:t>imilar to</w:t>
      </w:r>
      <w:r w:rsidR="004D3955" w:rsidRPr="008D3C1A">
        <w:rPr>
          <w:sz w:val="22"/>
          <w:szCs w:val="22"/>
          <w:lang w:val="en-GB"/>
        </w:rPr>
        <w:t xml:space="preserve"> the 3.</w:t>
      </w:r>
      <w:r w:rsidR="002F27BE" w:rsidRPr="008D3C1A">
        <w:rPr>
          <w:sz w:val="22"/>
          <w:szCs w:val="22"/>
          <w:lang w:val="en-GB"/>
        </w:rPr>
        <w:t>9</w:t>
      </w:r>
      <w:r w:rsidR="005024D3" w:rsidRPr="008D3C1A">
        <w:rPr>
          <w:sz w:val="22"/>
          <w:szCs w:val="22"/>
          <w:lang w:val="en-GB"/>
        </w:rPr>
        <w:t xml:space="preserve"> per cent</w:t>
      </w:r>
      <w:r w:rsidR="004D3955" w:rsidRPr="008D3C1A">
        <w:rPr>
          <w:sz w:val="22"/>
          <w:szCs w:val="22"/>
          <w:lang w:val="en-GB"/>
        </w:rPr>
        <w:t xml:space="preserve"> growth of the previous </w:t>
      </w:r>
      <w:r w:rsidR="006B64EE" w:rsidRPr="008D3C1A">
        <w:rPr>
          <w:sz w:val="22"/>
          <w:szCs w:val="22"/>
          <w:lang w:val="en-GB"/>
        </w:rPr>
        <w:t>nine</w:t>
      </w:r>
      <w:r w:rsidR="004D3955" w:rsidRPr="008D3C1A">
        <w:rPr>
          <w:sz w:val="22"/>
          <w:szCs w:val="22"/>
          <w:lang w:val="en-GB"/>
        </w:rPr>
        <w:t xml:space="preserve"> year period (1999</w:t>
      </w:r>
      <w:r w:rsidR="00FF0AA7" w:rsidRPr="008D3C1A">
        <w:rPr>
          <w:sz w:val="22"/>
          <w:szCs w:val="22"/>
          <w:lang w:val="en-GB"/>
        </w:rPr>
        <w:t>–</w:t>
      </w:r>
      <w:r w:rsidR="004D3955" w:rsidRPr="008D3C1A">
        <w:rPr>
          <w:sz w:val="22"/>
          <w:szCs w:val="22"/>
          <w:lang w:val="en-GB"/>
        </w:rPr>
        <w:t>2007)</w:t>
      </w:r>
      <w:r w:rsidR="00E43393" w:rsidRPr="008D3C1A">
        <w:rPr>
          <w:sz w:val="22"/>
          <w:szCs w:val="22"/>
          <w:lang w:val="en-GB"/>
        </w:rPr>
        <w:t>,</w:t>
      </w:r>
      <w:r w:rsidR="004D3955" w:rsidRPr="008D3C1A">
        <w:rPr>
          <w:sz w:val="22"/>
          <w:szCs w:val="22"/>
          <w:lang w:val="en-GB"/>
        </w:rPr>
        <w:t xml:space="preserve"> but much lower than the 7.1</w:t>
      </w:r>
      <w:r w:rsidR="005024D3" w:rsidRPr="008D3C1A">
        <w:rPr>
          <w:sz w:val="22"/>
          <w:szCs w:val="22"/>
          <w:lang w:val="en-GB"/>
        </w:rPr>
        <w:t xml:space="preserve"> per cent</w:t>
      </w:r>
      <w:r w:rsidR="004D3955" w:rsidRPr="008D3C1A">
        <w:rPr>
          <w:sz w:val="22"/>
          <w:szCs w:val="22"/>
          <w:lang w:val="en-GB"/>
        </w:rPr>
        <w:t xml:space="preserve"> recorded </w:t>
      </w:r>
      <w:r w:rsidR="006B64EE" w:rsidRPr="008D3C1A">
        <w:rPr>
          <w:sz w:val="22"/>
          <w:szCs w:val="22"/>
          <w:lang w:val="en-GB"/>
        </w:rPr>
        <w:t>in</w:t>
      </w:r>
      <w:r w:rsidR="004D3955" w:rsidRPr="008D3C1A">
        <w:rPr>
          <w:sz w:val="22"/>
          <w:szCs w:val="22"/>
          <w:lang w:val="en-GB"/>
        </w:rPr>
        <w:t xml:space="preserve"> 1990-98</w:t>
      </w:r>
      <w:r w:rsidR="0012539C" w:rsidRPr="008D3C1A">
        <w:rPr>
          <w:sz w:val="22"/>
          <w:szCs w:val="22"/>
          <w:lang w:val="en-GB"/>
        </w:rPr>
        <w:t xml:space="preserve">. </w:t>
      </w:r>
      <w:r w:rsidR="00603581" w:rsidRPr="008D3C1A">
        <w:rPr>
          <w:sz w:val="22"/>
          <w:szCs w:val="22"/>
          <w:lang w:val="en-GB"/>
        </w:rPr>
        <w:lastRenderedPageBreak/>
        <w:t>Moreover</w:t>
      </w:r>
      <w:r w:rsidR="0012539C" w:rsidRPr="008D3C1A">
        <w:rPr>
          <w:sz w:val="22"/>
          <w:szCs w:val="22"/>
          <w:lang w:val="en-GB"/>
        </w:rPr>
        <w:t>, average real wages and minimum</w:t>
      </w:r>
      <w:r w:rsidR="004D5A4D">
        <w:rPr>
          <w:sz w:val="22"/>
          <w:szCs w:val="22"/>
          <w:lang w:val="en-GB"/>
        </w:rPr>
        <w:t xml:space="preserve"> </w:t>
      </w:r>
      <w:r w:rsidR="0012539C" w:rsidRPr="008D3C1A">
        <w:rPr>
          <w:sz w:val="22"/>
          <w:szCs w:val="22"/>
          <w:lang w:val="en-GB"/>
        </w:rPr>
        <w:t xml:space="preserve">wages </w:t>
      </w:r>
      <w:r w:rsidR="00B7637D">
        <w:rPr>
          <w:sz w:val="22"/>
          <w:szCs w:val="22"/>
          <w:lang w:val="en-GB"/>
        </w:rPr>
        <w:t>had risen</w:t>
      </w:r>
      <w:r w:rsidR="0012539C" w:rsidRPr="008D3C1A">
        <w:rPr>
          <w:sz w:val="22"/>
          <w:szCs w:val="22"/>
          <w:lang w:val="en-GB"/>
        </w:rPr>
        <w:t xml:space="preserve"> much </w:t>
      </w:r>
      <w:r w:rsidR="00B7637D">
        <w:rPr>
          <w:sz w:val="22"/>
          <w:szCs w:val="22"/>
          <w:lang w:val="en-GB"/>
        </w:rPr>
        <w:t>slower</w:t>
      </w:r>
      <w:r w:rsidR="0012539C" w:rsidRPr="008D3C1A">
        <w:rPr>
          <w:sz w:val="22"/>
          <w:szCs w:val="22"/>
          <w:lang w:val="en-GB"/>
        </w:rPr>
        <w:t xml:space="preserve"> </w:t>
      </w:r>
      <w:r w:rsidR="00603581" w:rsidRPr="008D3C1A">
        <w:rPr>
          <w:sz w:val="22"/>
          <w:szCs w:val="22"/>
          <w:lang w:val="en-GB"/>
        </w:rPr>
        <w:t>during</w:t>
      </w:r>
      <w:r w:rsidR="0012539C" w:rsidRPr="008D3C1A">
        <w:rPr>
          <w:sz w:val="22"/>
          <w:szCs w:val="22"/>
          <w:lang w:val="en-GB"/>
        </w:rPr>
        <w:t xml:space="preserve"> the two periods that followed since 1999 </w:t>
      </w:r>
      <w:r w:rsidR="00342689" w:rsidRPr="008D3C1A">
        <w:rPr>
          <w:sz w:val="22"/>
          <w:szCs w:val="22"/>
          <w:lang w:val="en-GB"/>
        </w:rPr>
        <w:t xml:space="preserve">(see </w:t>
      </w:r>
      <w:r w:rsidR="00045A06">
        <w:rPr>
          <w:sz w:val="22"/>
          <w:szCs w:val="22"/>
          <w:lang w:val="en-GB"/>
        </w:rPr>
        <w:t>t</w:t>
      </w:r>
      <w:r w:rsidR="00342689" w:rsidRPr="008D3C1A">
        <w:rPr>
          <w:sz w:val="22"/>
          <w:szCs w:val="22"/>
          <w:lang w:val="en-GB"/>
        </w:rPr>
        <w:t xml:space="preserve">able </w:t>
      </w:r>
      <w:r w:rsidR="00862723" w:rsidRPr="008D3C1A">
        <w:rPr>
          <w:sz w:val="22"/>
          <w:szCs w:val="22"/>
          <w:lang w:val="en-GB"/>
        </w:rPr>
        <w:t>3</w:t>
      </w:r>
      <w:r w:rsidR="0012539C" w:rsidRPr="008D3C1A">
        <w:rPr>
          <w:sz w:val="22"/>
          <w:szCs w:val="22"/>
          <w:lang w:val="en-GB"/>
        </w:rPr>
        <w:t>)</w:t>
      </w:r>
      <w:r w:rsidR="004D3955" w:rsidRPr="008D3C1A">
        <w:rPr>
          <w:sz w:val="22"/>
          <w:szCs w:val="22"/>
          <w:lang w:val="en-GB"/>
        </w:rPr>
        <w:t>.</w:t>
      </w:r>
    </w:p>
    <w:p w:rsidR="002208C0" w:rsidRPr="008D3C1A" w:rsidRDefault="002208C0" w:rsidP="00AC15A7">
      <w:pPr>
        <w:pStyle w:val="Cuadrculamedia1-nfasis21"/>
        <w:spacing w:line="360" w:lineRule="auto"/>
        <w:ind w:left="62" w:firstLine="646"/>
        <w:jc w:val="both"/>
        <w:rPr>
          <w:sz w:val="22"/>
          <w:szCs w:val="22"/>
          <w:lang w:val="en-GB"/>
        </w:rPr>
      </w:pPr>
    </w:p>
    <w:p w:rsidR="0012539C" w:rsidRPr="008D3C1A" w:rsidRDefault="0012539C" w:rsidP="002208C0">
      <w:pPr>
        <w:pStyle w:val="Cuadrculamedia1-nfasis21"/>
        <w:spacing w:line="360" w:lineRule="auto"/>
        <w:ind w:left="0"/>
        <w:jc w:val="center"/>
        <w:rPr>
          <w:b/>
          <w:i/>
          <w:sz w:val="22"/>
          <w:szCs w:val="22"/>
          <w:lang w:val="en-GB"/>
        </w:rPr>
      </w:pPr>
      <w:r w:rsidRPr="008D3C1A">
        <w:rPr>
          <w:b/>
          <w:i/>
          <w:sz w:val="22"/>
          <w:szCs w:val="22"/>
          <w:lang w:val="en-GB"/>
        </w:rPr>
        <w:t xml:space="preserve">Table </w:t>
      </w:r>
      <w:r w:rsidR="00862723" w:rsidRPr="008D3C1A">
        <w:rPr>
          <w:b/>
          <w:i/>
          <w:sz w:val="22"/>
          <w:szCs w:val="22"/>
          <w:lang w:val="en-GB"/>
        </w:rPr>
        <w:t>3</w:t>
      </w:r>
    </w:p>
    <w:p w:rsidR="002208C0" w:rsidRPr="008D3C1A" w:rsidRDefault="002208C0" w:rsidP="00AC15A7">
      <w:pPr>
        <w:pStyle w:val="Cuadrculamedia1-nfasis21"/>
        <w:spacing w:line="360" w:lineRule="auto"/>
        <w:ind w:left="62" w:firstLine="646"/>
        <w:jc w:val="both"/>
        <w:rPr>
          <w:sz w:val="22"/>
          <w:szCs w:val="22"/>
          <w:lang w:val="en-GB"/>
        </w:rPr>
      </w:pPr>
    </w:p>
    <w:p w:rsidR="00667073" w:rsidRPr="008D3C1A" w:rsidRDefault="00667073" w:rsidP="00AC15A7">
      <w:pPr>
        <w:pStyle w:val="Cuadrculamedia1-nfasis21"/>
        <w:spacing w:line="360" w:lineRule="auto"/>
        <w:ind w:left="62" w:firstLine="646"/>
        <w:jc w:val="both"/>
        <w:rPr>
          <w:sz w:val="22"/>
          <w:szCs w:val="22"/>
          <w:lang w:val="en-GB"/>
        </w:rPr>
      </w:pPr>
      <w:r w:rsidRPr="008D3C1A">
        <w:rPr>
          <w:sz w:val="22"/>
          <w:szCs w:val="22"/>
          <w:lang w:val="en-GB"/>
        </w:rPr>
        <w:t xml:space="preserve">Slow economic growth and social indicators returning to achievements </w:t>
      </w:r>
      <w:r w:rsidR="00011A31" w:rsidRPr="008D3C1A">
        <w:rPr>
          <w:sz w:val="22"/>
          <w:szCs w:val="22"/>
          <w:lang w:val="en-GB"/>
        </w:rPr>
        <w:t>conquered</w:t>
      </w:r>
      <w:r w:rsidR="00603581" w:rsidRPr="008D3C1A">
        <w:rPr>
          <w:sz w:val="22"/>
          <w:szCs w:val="22"/>
          <w:lang w:val="en-GB"/>
        </w:rPr>
        <w:t xml:space="preserve">almost </w:t>
      </w:r>
      <w:r w:rsidRPr="008D3C1A">
        <w:rPr>
          <w:sz w:val="22"/>
          <w:szCs w:val="22"/>
          <w:lang w:val="en-GB"/>
        </w:rPr>
        <w:t xml:space="preserve">two decades ago do not provide a “model” of development. </w:t>
      </w:r>
      <w:r w:rsidR="00603581" w:rsidRPr="008D3C1A">
        <w:rPr>
          <w:sz w:val="22"/>
          <w:szCs w:val="22"/>
          <w:lang w:val="en-GB"/>
        </w:rPr>
        <w:t>However</w:t>
      </w:r>
      <w:r w:rsidRPr="008D3C1A">
        <w:rPr>
          <w:sz w:val="22"/>
          <w:szCs w:val="22"/>
          <w:lang w:val="en-GB"/>
        </w:rPr>
        <w:t>, there is more.</w:t>
      </w:r>
    </w:p>
    <w:p w:rsidR="0058182F" w:rsidRPr="008D3C1A" w:rsidRDefault="00603581" w:rsidP="004E552D">
      <w:pPr>
        <w:spacing w:after="120" w:line="360" w:lineRule="auto"/>
        <w:rPr>
          <w:sz w:val="22"/>
          <w:szCs w:val="22"/>
          <w:lang w:val="en-GB"/>
        </w:rPr>
      </w:pPr>
      <w:r w:rsidRPr="008D3C1A">
        <w:rPr>
          <w:sz w:val="22"/>
          <w:szCs w:val="22"/>
          <w:lang w:val="en-GB"/>
        </w:rPr>
        <w:t>T</w:t>
      </w:r>
      <w:r w:rsidR="004D3955" w:rsidRPr="008D3C1A">
        <w:rPr>
          <w:sz w:val="22"/>
          <w:szCs w:val="22"/>
          <w:lang w:val="en-GB"/>
        </w:rPr>
        <w:t xml:space="preserve">he transition from the recessionary gap to close to full employment and use of potential GDP </w:t>
      </w:r>
      <w:r w:rsidRPr="008D3C1A">
        <w:rPr>
          <w:sz w:val="22"/>
          <w:szCs w:val="22"/>
          <w:lang w:val="en-GB"/>
        </w:rPr>
        <w:t xml:space="preserve">undoubtedly </w:t>
      </w:r>
      <w:r w:rsidR="004D3955" w:rsidRPr="008D3C1A">
        <w:rPr>
          <w:sz w:val="22"/>
          <w:szCs w:val="22"/>
          <w:lang w:val="en-GB"/>
        </w:rPr>
        <w:t xml:space="preserve">reflects </w:t>
      </w:r>
      <w:r w:rsidR="00F204C1" w:rsidRPr="008D3C1A">
        <w:rPr>
          <w:sz w:val="22"/>
          <w:szCs w:val="22"/>
          <w:lang w:val="en-GB"/>
        </w:rPr>
        <w:t>one</w:t>
      </w:r>
      <w:r w:rsidR="004D3955" w:rsidRPr="008D3C1A">
        <w:rPr>
          <w:sz w:val="22"/>
          <w:szCs w:val="22"/>
          <w:lang w:val="en-GB"/>
        </w:rPr>
        <w:t xml:space="preserve"> essential </w:t>
      </w:r>
      <w:r w:rsidR="00E43393" w:rsidRPr="008D3C1A">
        <w:rPr>
          <w:sz w:val="22"/>
          <w:szCs w:val="22"/>
          <w:lang w:val="en-GB"/>
        </w:rPr>
        <w:t xml:space="preserve">macroeconomic balance. </w:t>
      </w:r>
      <w:r w:rsidR="00610291" w:rsidRPr="008D3C1A">
        <w:rPr>
          <w:sz w:val="22"/>
          <w:szCs w:val="22"/>
          <w:lang w:val="en-GB"/>
        </w:rPr>
        <w:t xml:space="preserve">Nonetheless, macroeconomic equilibrium includes important dimensions </w:t>
      </w:r>
      <w:r w:rsidR="00610291">
        <w:rPr>
          <w:sz w:val="22"/>
          <w:szCs w:val="22"/>
          <w:lang w:val="en-GB"/>
        </w:rPr>
        <w:t xml:space="preserve">other </w:t>
      </w:r>
      <w:r w:rsidR="00610291" w:rsidRPr="008D3C1A">
        <w:rPr>
          <w:sz w:val="22"/>
          <w:szCs w:val="22"/>
          <w:lang w:val="en-GB"/>
        </w:rPr>
        <w:t>than inflation under control, including</w:t>
      </w:r>
      <w:r w:rsidR="00610291">
        <w:rPr>
          <w:sz w:val="22"/>
          <w:szCs w:val="22"/>
          <w:lang w:val="en-GB"/>
        </w:rPr>
        <w:t xml:space="preserve"> </w:t>
      </w:r>
      <w:r w:rsidR="00610291" w:rsidRPr="008D3C1A">
        <w:rPr>
          <w:sz w:val="22"/>
          <w:szCs w:val="22"/>
          <w:lang w:val="en-GB"/>
        </w:rPr>
        <w:t xml:space="preserve">external and comprehensive fiscal balances. </w:t>
      </w:r>
      <w:r w:rsidRPr="008D3C1A">
        <w:rPr>
          <w:sz w:val="22"/>
          <w:szCs w:val="22"/>
          <w:lang w:val="en-GB"/>
        </w:rPr>
        <w:t>Therefore</w:t>
      </w:r>
      <w:r w:rsidR="0058182F" w:rsidRPr="008D3C1A">
        <w:rPr>
          <w:sz w:val="22"/>
          <w:szCs w:val="22"/>
          <w:lang w:val="en-GB"/>
        </w:rPr>
        <w:t xml:space="preserve">, </w:t>
      </w:r>
      <w:r w:rsidRPr="008D3C1A">
        <w:rPr>
          <w:sz w:val="22"/>
          <w:szCs w:val="22"/>
          <w:lang w:val="en-GB"/>
        </w:rPr>
        <w:t xml:space="preserve">to achieve </w:t>
      </w:r>
      <w:r w:rsidR="0058182F" w:rsidRPr="008D3C1A">
        <w:rPr>
          <w:sz w:val="22"/>
          <w:szCs w:val="22"/>
          <w:lang w:val="en-GB"/>
        </w:rPr>
        <w:t>sustainability</w:t>
      </w:r>
      <w:r w:rsidRPr="008D3C1A">
        <w:rPr>
          <w:sz w:val="22"/>
          <w:szCs w:val="22"/>
          <w:lang w:val="en-GB"/>
        </w:rPr>
        <w:t>,</w:t>
      </w:r>
      <w:r w:rsidR="0058182F" w:rsidRPr="008D3C1A">
        <w:rPr>
          <w:sz w:val="22"/>
          <w:szCs w:val="22"/>
          <w:lang w:val="en-GB"/>
        </w:rPr>
        <w:t xml:space="preserve"> fiscal and external accounts must </w:t>
      </w:r>
      <w:r w:rsidRPr="008D3C1A">
        <w:rPr>
          <w:sz w:val="22"/>
          <w:szCs w:val="22"/>
          <w:lang w:val="en-GB"/>
        </w:rPr>
        <w:t xml:space="preserve">also </w:t>
      </w:r>
      <w:r w:rsidR="0058182F" w:rsidRPr="008D3C1A">
        <w:rPr>
          <w:sz w:val="22"/>
          <w:szCs w:val="22"/>
          <w:lang w:val="en-GB"/>
        </w:rPr>
        <w:t xml:space="preserve">converge to a sustainable balance when the recessive gap disappears. </w:t>
      </w:r>
    </w:p>
    <w:p w:rsidR="0058182F" w:rsidRPr="008D3C1A" w:rsidRDefault="0058182F" w:rsidP="004E552D">
      <w:pPr>
        <w:spacing w:after="120" w:line="360" w:lineRule="auto"/>
        <w:ind w:firstLine="708"/>
        <w:rPr>
          <w:sz w:val="22"/>
          <w:szCs w:val="22"/>
          <w:lang w:val="en-GB"/>
        </w:rPr>
      </w:pPr>
      <w:r w:rsidRPr="008D3C1A">
        <w:rPr>
          <w:sz w:val="22"/>
          <w:szCs w:val="22"/>
          <w:lang w:val="en-GB"/>
        </w:rPr>
        <w:t>Very early in the transition of actual GDP toward potential GDP, there was a significant exchange rate appreciation and new permanent public expenditures without the corresponding permanent fiscal income. As a result, when the recessionary gap disappeared in 2012 and early 2013, two macroeconomic disequilibria had emerged</w:t>
      </w:r>
      <w:r w:rsidR="00603581" w:rsidRPr="008D3C1A">
        <w:rPr>
          <w:sz w:val="22"/>
          <w:szCs w:val="22"/>
          <w:lang w:val="en-GB"/>
        </w:rPr>
        <w:t>:</w:t>
      </w:r>
      <w:r w:rsidRPr="008D3C1A">
        <w:rPr>
          <w:sz w:val="22"/>
          <w:szCs w:val="22"/>
          <w:lang w:val="en-GB"/>
        </w:rPr>
        <w:t xml:space="preserve"> (i) an outlier overvalued exchange rate</w:t>
      </w:r>
      <w:r w:rsidR="00603581" w:rsidRPr="008D3C1A">
        <w:rPr>
          <w:sz w:val="22"/>
          <w:szCs w:val="22"/>
          <w:lang w:val="en-GB"/>
        </w:rPr>
        <w:t>;</w:t>
      </w:r>
      <w:r w:rsidRPr="008D3C1A">
        <w:rPr>
          <w:sz w:val="22"/>
          <w:szCs w:val="22"/>
          <w:lang w:val="en-GB"/>
        </w:rPr>
        <w:t xml:space="preserve"> and (ii) a public budget supported by a transitory high copper price. </w:t>
      </w:r>
      <w:r w:rsidR="00603581" w:rsidRPr="008D3C1A">
        <w:rPr>
          <w:sz w:val="22"/>
          <w:szCs w:val="22"/>
          <w:lang w:val="en-GB"/>
        </w:rPr>
        <w:t xml:space="preserve">For several years, imports </w:t>
      </w:r>
      <w:r w:rsidRPr="008D3C1A">
        <w:rPr>
          <w:sz w:val="22"/>
          <w:szCs w:val="22"/>
          <w:lang w:val="en-GB"/>
        </w:rPr>
        <w:t xml:space="preserve">and fiscal expenditure were growingmuch faster than the quantum of exports and tax proceeds. </w:t>
      </w:r>
    </w:p>
    <w:p w:rsidR="0058182F" w:rsidRPr="008D3C1A" w:rsidRDefault="00E8675F" w:rsidP="004E552D">
      <w:pPr>
        <w:spacing w:after="120" w:line="360" w:lineRule="auto"/>
        <w:jc w:val="both"/>
        <w:rPr>
          <w:sz w:val="22"/>
          <w:szCs w:val="22"/>
          <w:lang w:val="en-GB"/>
        </w:rPr>
      </w:pPr>
      <w:r w:rsidRPr="008D3C1A">
        <w:rPr>
          <w:sz w:val="22"/>
          <w:szCs w:val="22"/>
          <w:lang w:val="en-GB"/>
        </w:rPr>
        <w:tab/>
      </w:r>
      <w:r w:rsidR="0058182F" w:rsidRPr="008D3C1A">
        <w:rPr>
          <w:sz w:val="22"/>
          <w:szCs w:val="22"/>
          <w:lang w:val="en-GB"/>
        </w:rPr>
        <w:t xml:space="preserve">During 2009, the external sector regained a surplus </w:t>
      </w:r>
      <w:r w:rsidR="00F658FF" w:rsidRPr="008D3C1A">
        <w:rPr>
          <w:sz w:val="22"/>
          <w:szCs w:val="22"/>
          <w:lang w:val="en-GB"/>
        </w:rPr>
        <w:t>due to</w:t>
      </w:r>
      <w:r w:rsidR="0058182F" w:rsidRPr="008D3C1A">
        <w:rPr>
          <w:sz w:val="22"/>
          <w:szCs w:val="22"/>
          <w:lang w:val="en-GB"/>
        </w:rPr>
        <w:t xml:space="preserve"> jumps in the copper price. Meanwhile, </w:t>
      </w:r>
      <w:r w:rsidR="00772761" w:rsidRPr="008D3C1A">
        <w:rPr>
          <w:sz w:val="22"/>
          <w:szCs w:val="22"/>
          <w:lang w:val="en-GB"/>
        </w:rPr>
        <w:t>a</w:t>
      </w:r>
      <w:r w:rsidR="0058182F" w:rsidRPr="008D3C1A">
        <w:rPr>
          <w:sz w:val="22"/>
          <w:szCs w:val="22"/>
          <w:lang w:val="en-GB"/>
        </w:rPr>
        <w:t xml:space="preserve">fter having experienced a strong revaluation </w:t>
      </w:r>
      <w:r w:rsidR="00C00856" w:rsidRPr="008D3C1A">
        <w:rPr>
          <w:sz w:val="22"/>
          <w:szCs w:val="22"/>
          <w:lang w:val="en-GB"/>
        </w:rPr>
        <w:t xml:space="preserve">up </w:t>
      </w:r>
      <w:r w:rsidR="0058182F" w:rsidRPr="008D3C1A">
        <w:rPr>
          <w:sz w:val="22"/>
          <w:szCs w:val="22"/>
          <w:lang w:val="en-GB"/>
        </w:rPr>
        <w:t>to $435 pesos to the dollar in March 200</w:t>
      </w:r>
      <w:r w:rsidR="00C00856" w:rsidRPr="008D3C1A">
        <w:rPr>
          <w:sz w:val="22"/>
          <w:szCs w:val="22"/>
          <w:lang w:val="en-GB"/>
        </w:rPr>
        <w:t>8</w:t>
      </w:r>
      <w:r w:rsidR="0058182F" w:rsidRPr="008D3C1A">
        <w:rPr>
          <w:sz w:val="22"/>
          <w:szCs w:val="22"/>
          <w:lang w:val="en-GB"/>
        </w:rPr>
        <w:t xml:space="preserve">, </w:t>
      </w:r>
      <w:r w:rsidR="00F658FF" w:rsidRPr="008D3C1A">
        <w:rPr>
          <w:sz w:val="22"/>
          <w:szCs w:val="22"/>
          <w:lang w:val="en-GB"/>
        </w:rPr>
        <w:t>the exchange rate underwent</w:t>
      </w:r>
      <w:r w:rsidR="0058182F" w:rsidRPr="008D3C1A">
        <w:rPr>
          <w:sz w:val="22"/>
          <w:szCs w:val="22"/>
          <w:lang w:val="en-GB"/>
        </w:rPr>
        <w:t xml:space="preserve"> a s</w:t>
      </w:r>
      <w:r w:rsidRPr="008D3C1A">
        <w:rPr>
          <w:sz w:val="22"/>
          <w:szCs w:val="22"/>
          <w:lang w:val="en-GB"/>
        </w:rPr>
        <w:t>harp</w:t>
      </w:r>
      <w:r w:rsidR="0058182F" w:rsidRPr="008D3C1A">
        <w:rPr>
          <w:sz w:val="22"/>
          <w:szCs w:val="22"/>
          <w:lang w:val="en-GB"/>
        </w:rPr>
        <w:t xml:space="preserve"> devaluation</w:t>
      </w:r>
      <w:r w:rsidR="00F658FF" w:rsidRPr="008D3C1A">
        <w:rPr>
          <w:sz w:val="22"/>
          <w:szCs w:val="22"/>
          <w:lang w:val="en-GB"/>
        </w:rPr>
        <w:t>,</w:t>
      </w:r>
      <w:r w:rsidR="0058182F" w:rsidRPr="008D3C1A">
        <w:rPr>
          <w:sz w:val="22"/>
          <w:szCs w:val="22"/>
          <w:lang w:val="en-GB"/>
        </w:rPr>
        <w:t xml:space="preserve"> reaching $650 by late 2008, </w:t>
      </w:r>
      <w:r w:rsidR="00F658FF" w:rsidRPr="008D3C1A">
        <w:rPr>
          <w:sz w:val="22"/>
          <w:szCs w:val="22"/>
          <w:lang w:val="en-GB"/>
        </w:rPr>
        <w:t xml:space="preserve">before </w:t>
      </w:r>
      <w:r w:rsidRPr="008D3C1A">
        <w:rPr>
          <w:sz w:val="22"/>
          <w:szCs w:val="22"/>
          <w:lang w:val="en-GB"/>
        </w:rPr>
        <w:t xml:space="preserve">it </w:t>
      </w:r>
      <w:r w:rsidR="0058182F" w:rsidRPr="008D3C1A">
        <w:rPr>
          <w:sz w:val="22"/>
          <w:szCs w:val="22"/>
          <w:lang w:val="en-GB"/>
        </w:rPr>
        <w:t xml:space="preserve">responded to the </w:t>
      </w:r>
      <w:r w:rsidR="00C919F6">
        <w:rPr>
          <w:sz w:val="22"/>
          <w:szCs w:val="22"/>
          <w:lang w:val="en-GB"/>
        </w:rPr>
        <w:t xml:space="preserve">subsequent </w:t>
      </w:r>
      <w:r w:rsidR="0058182F" w:rsidRPr="008D3C1A">
        <w:rPr>
          <w:sz w:val="22"/>
          <w:szCs w:val="22"/>
          <w:lang w:val="en-GB"/>
        </w:rPr>
        <w:t xml:space="preserve">dominant expectation that Chile was emerging from the crisis. </w:t>
      </w:r>
      <w:r w:rsidR="00F658FF" w:rsidRPr="008D3C1A">
        <w:rPr>
          <w:sz w:val="22"/>
          <w:szCs w:val="22"/>
          <w:lang w:val="en-GB"/>
        </w:rPr>
        <w:t>Consequently</w:t>
      </w:r>
      <w:r w:rsidR="0058182F" w:rsidRPr="008D3C1A">
        <w:rPr>
          <w:sz w:val="22"/>
          <w:szCs w:val="22"/>
          <w:lang w:val="en-GB"/>
        </w:rPr>
        <w:t xml:space="preserve">, there was a </w:t>
      </w:r>
      <w:r w:rsidR="00C00856" w:rsidRPr="008D3C1A">
        <w:rPr>
          <w:sz w:val="22"/>
          <w:szCs w:val="22"/>
          <w:lang w:val="en-GB"/>
        </w:rPr>
        <w:t xml:space="preserve">new </w:t>
      </w:r>
      <w:r w:rsidR="0058182F" w:rsidRPr="008D3C1A">
        <w:rPr>
          <w:sz w:val="22"/>
          <w:szCs w:val="22"/>
          <w:lang w:val="en-GB"/>
        </w:rPr>
        <w:t>trend toward appreciation</w:t>
      </w:r>
      <w:r w:rsidR="00F658FF" w:rsidRPr="008D3C1A">
        <w:rPr>
          <w:sz w:val="22"/>
          <w:szCs w:val="22"/>
          <w:lang w:val="en-GB"/>
        </w:rPr>
        <w:t>, with</w:t>
      </w:r>
      <w:r w:rsidR="0058182F" w:rsidRPr="008D3C1A">
        <w:rPr>
          <w:sz w:val="22"/>
          <w:szCs w:val="22"/>
          <w:lang w:val="en-GB"/>
        </w:rPr>
        <w:t xml:space="preserve"> the exchange rate </w:t>
      </w:r>
      <w:r w:rsidR="00F658FF" w:rsidRPr="008D3C1A">
        <w:rPr>
          <w:sz w:val="22"/>
          <w:szCs w:val="22"/>
          <w:lang w:val="en-GB"/>
        </w:rPr>
        <w:t xml:space="preserve">having </w:t>
      </w:r>
      <w:r w:rsidRPr="008D3C1A">
        <w:rPr>
          <w:sz w:val="22"/>
          <w:szCs w:val="22"/>
          <w:lang w:val="en-GB"/>
        </w:rPr>
        <w:t>appreciated</w:t>
      </w:r>
      <w:r w:rsidR="0058182F" w:rsidRPr="008D3C1A">
        <w:rPr>
          <w:sz w:val="22"/>
          <w:szCs w:val="22"/>
          <w:lang w:val="en-GB"/>
        </w:rPr>
        <w:t xml:space="preserve"> to $460</w:t>
      </w:r>
      <w:r w:rsidR="00F658FF" w:rsidRPr="008D3C1A">
        <w:rPr>
          <w:sz w:val="22"/>
          <w:szCs w:val="22"/>
          <w:lang w:val="en-GB"/>
        </w:rPr>
        <w:t xml:space="preserve"> by mid-2011</w:t>
      </w:r>
      <w:r w:rsidR="0058182F" w:rsidRPr="008D3C1A">
        <w:rPr>
          <w:sz w:val="22"/>
          <w:szCs w:val="22"/>
          <w:lang w:val="en-GB"/>
        </w:rPr>
        <w:t xml:space="preserve">. </w:t>
      </w:r>
    </w:p>
    <w:p w:rsidR="0058182F" w:rsidRPr="008D3C1A" w:rsidRDefault="0058182F" w:rsidP="004E552D">
      <w:pPr>
        <w:spacing w:after="120" w:line="360" w:lineRule="auto"/>
        <w:ind w:firstLine="708"/>
        <w:jc w:val="both"/>
        <w:rPr>
          <w:sz w:val="22"/>
          <w:szCs w:val="22"/>
          <w:lang w:val="en-GB"/>
        </w:rPr>
      </w:pPr>
      <w:r w:rsidRPr="008D3C1A">
        <w:rPr>
          <w:sz w:val="22"/>
          <w:szCs w:val="22"/>
          <w:lang w:val="en-GB"/>
        </w:rPr>
        <w:t>These intense fluctuations are in sharp contrast with the view that the exchange rate is a determinant variable for the allocation of resources for exporters and those competing with imports</w:t>
      </w:r>
      <w:r w:rsidR="00F658FF" w:rsidRPr="008D3C1A">
        <w:rPr>
          <w:sz w:val="22"/>
          <w:szCs w:val="22"/>
          <w:lang w:val="en-GB"/>
        </w:rPr>
        <w:t>.Evidently</w:t>
      </w:r>
      <w:r w:rsidRPr="008D3C1A">
        <w:rPr>
          <w:sz w:val="22"/>
          <w:szCs w:val="22"/>
          <w:lang w:val="en-GB"/>
        </w:rPr>
        <w:t>, derivatives markets do</w:t>
      </w:r>
      <w:r w:rsidR="00F658FF" w:rsidRPr="008D3C1A">
        <w:rPr>
          <w:sz w:val="22"/>
          <w:szCs w:val="22"/>
          <w:lang w:val="en-GB"/>
        </w:rPr>
        <w:t xml:space="preserve"> not</w:t>
      </w:r>
      <w:r w:rsidRPr="008D3C1A">
        <w:rPr>
          <w:sz w:val="22"/>
          <w:szCs w:val="22"/>
          <w:lang w:val="en-GB"/>
        </w:rPr>
        <w:t xml:space="preserve"> solve the obstacle that instability brings for decision-makers of irreversible investment</w:t>
      </w:r>
      <w:r w:rsidR="00F658FF" w:rsidRPr="008D3C1A">
        <w:rPr>
          <w:sz w:val="22"/>
          <w:szCs w:val="22"/>
          <w:lang w:val="en-GB"/>
        </w:rPr>
        <w:t>; rather,t</w:t>
      </w:r>
      <w:r w:rsidRPr="008D3C1A">
        <w:rPr>
          <w:sz w:val="22"/>
          <w:szCs w:val="22"/>
          <w:lang w:val="en-GB"/>
        </w:rPr>
        <w:t>his instability is quite detrimental to development.</w:t>
      </w:r>
    </w:p>
    <w:p w:rsidR="00630EE8" w:rsidRPr="008D3C1A" w:rsidRDefault="00FB64B9" w:rsidP="00AC15A7">
      <w:pPr>
        <w:spacing w:line="360" w:lineRule="auto"/>
        <w:ind w:left="62" w:firstLine="658"/>
        <w:jc w:val="both"/>
        <w:rPr>
          <w:sz w:val="22"/>
          <w:szCs w:val="22"/>
          <w:lang w:val="en-GB"/>
        </w:rPr>
      </w:pPr>
      <w:r w:rsidRPr="008D3C1A">
        <w:rPr>
          <w:sz w:val="22"/>
          <w:szCs w:val="22"/>
          <w:lang w:val="en-GB"/>
        </w:rPr>
        <w:t xml:space="preserve">Table </w:t>
      </w:r>
      <w:r w:rsidR="0012539C" w:rsidRPr="008D3C1A">
        <w:rPr>
          <w:sz w:val="22"/>
          <w:szCs w:val="22"/>
          <w:lang w:val="en-GB"/>
        </w:rPr>
        <w:t>4</w:t>
      </w:r>
      <w:r w:rsidRPr="008D3C1A">
        <w:rPr>
          <w:sz w:val="22"/>
          <w:szCs w:val="22"/>
          <w:lang w:val="en-GB"/>
        </w:rPr>
        <w:t xml:space="preserve"> shows that i</w:t>
      </w:r>
      <w:r w:rsidR="00E8675F" w:rsidRPr="008D3C1A">
        <w:rPr>
          <w:sz w:val="22"/>
          <w:szCs w:val="22"/>
          <w:lang w:val="en-GB"/>
        </w:rPr>
        <w:t>m</w:t>
      </w:r>
      <w:r w:rsidR="00630EE8" w:rsidRPr="008D3C1A">
        <w:rPr>
          <w:sz w:val="22"/>
          <w:szCs w:val="22"/>
          <w:lang w:val="en-GB"/>
        </w:rPr>
        <w:t xml:space="preserve">ports </w:t>
      </w:r>
      <w:r w:rsidR="005463D7" w:rsidRPr="008D3C1A">
        <w:rPr>
          <w:sz w:val="22"/>
          <w:szCs w:val="22"/>
          <w:lang w:val="en-GB"/>
        </w:rPr>
        <w:t xml:space="preserve">grew </w:t>
      </w:r>
      <w:r w:rsidRPr="008D3C1A">
        <w:rPr>
          <w:sz w:val="22"/>
          <w:szCs w:val="22"/>
          <w:lang w:val="en-GB"/>
        </w:rPr>
        <w:t>notably faster than GDP</w:t>
      </w:r>
      <w:r w:rsidR="00772761" w:rsidRPr="008D3C1A">
        <w:rPr>
          <w:sz w:val="22"/>
          <w:szCs w:val="22"/>
          <w:lang w:val="en-GB"/>
        </w:rPr>
        <w:t xml:space="preserve"> and</w:t>
      </w:r>
      <w:r w:rsidR="00630EE8" w:rsidRPr="008D3C1A">
        <w:rPr>
          <w:sz w:val="22"/>
          <w:szCs w:val="22"/>
          <w:lang w:val="en-GB"/>
        </w:rPr>
        <w:t xml:space="preserve"> exports for a full decade</w:t>
      </w:r>
      <w:r w:rsidR="00F658FF" w:rsidRPr="008D3C1A">
        <w:rPr>
          <w:sz w:val="22"/>
          <w:szCs w:val="22"/>
          <w:lang w:val="en-GB"/>
        </w:rPr>
        <w:t>, with</w:t>
      </w:r>
      <w:r w:rsidR="00C80AAD" w:rsidRPr="008D3C1A">
        <w:rPr>
          <w:sz w:val="22"/>
          <w:szCs w:val="22"/>
          <w:lang w:val="en-GB"/>
        </w:rPr>
        <w:t xml:space="preserve">the gap </w:t>
      </w:r>
      <w:r w:rsidR="00630EE8" w:rsidRPr="008D3C1A">
        <w:rPr>
          <w:sz w:val="22"/>
          <w:szCs w:val="22"/>
          <w:lang w:val="en-GB"/>
        </w:rPr>
        <w:t>financed by a high price of copper</w:t>
      </w:r>
      <w:r w:rsidR="00630EE8" w:rsidRPr="008D3C1A">
        <w:rPr>
          <w:i/>
          <w:sz w:val="22"/>
          <w:szCs w:val="22"/>
          <w:lang w:val="en-GB"/>
        </w:rPr>
        <w:t>.</w:t>
      </w:r>
      <w:r w:rsidR="00630EE8" w:rsidRPr="008D3C1A">
        <w:rPr>
          <w:sz w:val="22"/>
          <w:szCs w:val="22"/>
          <w:lang w:val="en-GB"/>
        </w:rPr>
        <w:t xml:space="preserve"> Notwithstanding </w:t>
      </w:r>
      <w:r w:rsidRPr="008D3C1A">
        <w:rPr>
          <w:sz w:val="22"/>
          <w:szCs w:val="22"/>
          <w:lang w:val="en-GB"/>
        </w:rPr>
        <w:t>that</w:t>
      </w:r>
      <w:r w:rsidR="00630EE8" w:rsidRPr="008D3C1A">
        <w:rPr>
          <w:sz w:val="22"/>
          <w:szCs w:val="22"/>
          <w:lang w:val="en-GB"/>
        </w:rPr>
        <w:t>high price</w:t>
      </w:r>
      <w:r w:rsidR="00FF0AA7" w:rsidRPr="008D3C1A">
        <w:rPr>
          <w:sz w:val="22"/>
          <w:szCs w:val="22"/>
          <w:lang w:val="en-GB"/>
        </w:rPr>
        <w:t>–</w:t>
      </w:r>
      <w:r w:rsidRPr="008D3C1A">
        <w:rPr>
          <w:sz w:val="22"/>
          <w:szCs w:val="22"/>
          <w:lang w:val="en-GB"/>
        </w:rPr>
        <w:t>probably</w:t>
      </w:r>
      <w:r w:rsidR="0090682C" w:rsidRPr="008D3C1A">
        <w:rPr>
          <w:sz w:val="22"/>
          <w:szCs w:val="22"/>
          <w:lang w:val="en-GB"/>
        </w:rPr>
        <w:t xml:space="preserve"> a transitory high</w:t>
      </w:r>
      <w:r w:rsidR="00C80AAD" w:rsidRPr="008D3C1A">
        <w:rPr>
          <w:sz w:val="22"/>
          <w:szCs w:val="22"/>
          <w:lang w:val="en-GB"/>
        </w:rPr>
        <w:t xml:space="preserve"> one</w:t>
      </w:r>
      <w:r w:rsidR="002F55C5" w:rsidRPr="008D3C1A">
        <w:rPr>
          <w:sz w:val="22"/>
          <w:szCs w:val="22"/>
          <w:lang w:val="en-GB"/>
        </w:rPr>
        <w:t>–</w:t>
      </w:r>
      <w:r w:rsidR="00630EE8" w:rsidRPr="008D3C1A">
        <w:rPr>
          <w:sz w:val="22"/>
          <w:szCs w:val="22"/>
          <w:lang w:val="en-GB"/>
        </w:rPr>
        <w:t xml:space="preserve">the current account was exhibiting a </w:t>
      </w:r>
      <w:r w:rsidR="004D5A4D">
        <w:rPr>
          <w:sz w:val="22"/>
          <w:szCs w:val="22"/>
          <w:lang w:val="en-GB"/>
        </w:rPr>
        <w:t xml:space="preserve">deficit equivalent </w:t>
      </w:r>
      <w:r w:rsidR="007E1EDB" w:rsidRPr="008D3C1A">
        <w:rPr>
          <w:sz w:val="22"/>
          <w:szCs w:val="22"/>
          <w:lang w:val="en-GB"/>
        </w:rPr>
        <w:t>3.4</w:t>
      </w:r>
      <w:r w:rsidR="005024D3" w:rsidRPr="008D3C1A">
        <w:rPr>
          <w:sz w:val="22"/>
          <w:szCs w:val="22"/>
          <w:lang w:val="en-GB"/>
        </w:rPr>
        <w:t xml:space="preserve"> per cent</w:t>
      </w:r>
      <w:r w:rsidR="00090EFB">
        <w:rPr>
          <w:sz w:val="22"/>
          <w:szCs w:val="22"/>
          <w:lang w:val="en-GB"/>
        </w:rPr>
        <w:t xml:space="preserve"> of</w:t>
      </w:r>
      <w:r w:rsidR="007E1EDB" w:rsidRPr="008D3C1A">
        <w:rPr>
          <w:sz w:val="22"/>
          <w:szCs w:val="22"/>
          <w:lang w:val="en-GB"/>
        </w:rPr>
        <w:t xml:space="preserve"> GDP </w:t>
      </w:r>
      <w:r w:rsidR="00C80AAD" w:rsidRPr="008D3C1A">
        <w:rPr>
          <w:sz w:val="22"/>
          <w:szCs w:val="22"/>
          <w:lang w:val="en-GB"/>
        </w:rPr>
        <w:t>in 2012</w:t>
      </w:r>
      <w:r w:rsidR="002F55C5" w:rsidRPr="008D3C1A">
        <w:rPr>
          <w:sz w:val="22"/>
          <w:szCs w:val="22"/>
          <w:lang w:val="en-GB"/>
        </w:rPr>
        <w:t>–</w:t>
      </w:r>
      <w:r w:rsidR="00C80AAD" w:rsidRPr="008D3C1A">
        <w:rPr>
          <w:sz w:val="22"/>
          <w:szCs w:val="22"/>
          <w:lang w:val="en-GB"/>
        </w:rPr>
        <w:t>13</w:t>
      </w:r>
      <w:r w:rsidR="0090682C" w:rsidRPr="008D3C1A">
        <w:rPr>
          <w:sz w:val="22"/>
          <w:szCs w:val="22"/>
          <w:lang w:val="en-GB"/>
        </w:rPr>
        <w:t>.</w:t>
      </w:r>
      <w:r w:rsidR="004D5A4D">
        <w:rPr>
          <w:sz w:val="22"/>
          <w:szCs w:val="22"/>
          <w:lang w:val="en-GB"/>
        </w:rPr>
        <w:t xml:space="preserve"> </w:t>
      </w:r>
      <w:r w:rsidRPr="008D3C1A">
        <w:rPr>
          <w:sz w:val="22"/>
          <w:szCs w:val="22"/>
          <w:lang w:val="en-GB"/>
        </w:rPr>
        <w:t>Additionally, a previous trend toward</w:t>
      </w:r>
      <w:r w:rsidR="00F658FF" w:rsidRPr="008D3C1A">
        <w:rPr>
          <w:sz w:val="22"/>
          <w:szCs w:val="22"/>
          <w:lang w:val="en-GB"/>
        </w:rPr>
        <w:t>s</w:t>
      </w:r>
      <w:r w:rsidRPr="008D3C1A">
        <w:rPr>
          <w:sz w:val="22"/>
          <w:szCs w:val="22"/>
          <w:lang w:val="en-GB"/>
        </w:rPr>
        <w:t xml:space="preserve"> some export diversification had been stagnating (a sort of </w:t>
      </w:r>
      <w:r w:rsidRPr="008D3C1A">
        <w:rPr>
          <w:i/>
          <w:sz w:val="22"/>
          <w:szCs w:val="22"/>
          <w:lang w:val="en-GB"/>
        </w:rPr>
        <w:t xml:space="preserve">Dutch </w:t>
      </w:r>
      <w:r w:rsidR="00F658FF" w:rsidRPr="008D3C1A">
        <w:rPr>
          <w:i/>
          <w:sz w:val="22"/>
          <w:szCs w:val="22"/>
          <w:lang w:val="en-GB"/>
        </w:rPr>
        <w:t xml:space="preserve">disease </w:t>
      </w:r>
      <w:r w:rsidRPr="008D3C1A">
        <w:rPr>
          <w:sz w:val="22"/>
          <w:szCs w:val="22"/>
          <w:lang w:val="en-GB"/>
        </w:rPr>
        <w:t>was at work)</w:t>
      </w:r>
      <w:r w:rsidRPr="008D3C1A">
        <w:rPr>
          <w:i/>
          <w:sz w:val="22"/>
          <w:szCs w:val="22"/>
          <w:lang w:val="en-GB"/>
        </w:rPr>
        <w:t>.</w:t>
      </w:r>
    </w:p>
    <w:p w:rsidR="002208C0" w:rsidRPr="008D3C1A" w:rsidRDefault="002208C0" w:rsidP="00AC15A7">
      <w:pPr>
        <w:spacing w:line="360" w:lineRule="auto"/>
        <w:ind w:left="62" w:firstLine="658"/>
        <w:jc w:val="both"/>
        <w:rPr>
          <w:sz w:val="22"/>
          <w:szCs w:val="22"/>
          <w:lang w:val="en-GB"/>
        </w:rPr>
      </w:pPr>
    </w:p>
    <w:p w:rsidR="0064706F" w:rsidRPr="008D3C1A" w:rsidRDefault="0064706F" w:rsidP="002208C0">
      <w:pPr>
        <w:spacing w:line="360" w:lineRule="auto"/>
        <w:jc w:val="center"/>
        <w:rPr>
          <w:b/>
          <w:i/>
          <w:sz w:val="22"/>
          <w:szCs w:val="22"/>
          <w:lang w:val="en-GB"/>
        </w:rPr>
      </w:pPr>
      <w:r w:rsidRPr="008D3C1A">
        <w:rPr>
          <w:b/>
          <w:i/>
          <w:sz w:val="22"/>
          <w:szCs w:val="22"/>
          <w:lang w:val="en-GB"/>
        </w:rPr>
        <w:t xml:space="preserve">Table </w:t>
      </w:r>
      <w:r w:rsidR="0012539C" w:rsidRPr="008D3C1A">
        <w:rPr>
          <w:b/>
          <w:i/>
          <w:sz w:val="22"/>
          <w:szCs w:val="22"/>
          <w:lang w:val="en-GB"/>
        </w:rPr>
        <w:t>4</w:t>
      </w:r>
    </w:p>
    <w:p w:rsidR="002208C0" w:rsidRPr="008D3C1A" w:rsidRDefault="002208C0" w:rsidP="00AC15A7">
      <w:pPr>
        <w:spacing w:line="360" w:lineRule="auto"/>
        <w:rPr>
          <w:sz w:val="22"/>
          <w:szCs w:val="22"/>
          <w:lang w:val="en-GB"/>
        </w:rPr>
      </w:pPr>
    </w:p>
    <w:p w:rsidR="004D3955" w:rsidRPr="00045A06" w:rsidRDefault="004D3955" w:rsidP="004E552D">
      <w:pPr>
        <w:spacing w:after="120" w:line="360" w:lineRule="auto"/>
        <w:ind w:left="62" w:firstLine="658"/>
        <w:jc w:val="both"/>
        <w:rPr>
          <w:sz w:val="22"/>
          <w:szCs w:val="22"/>
          <w:lang w:val="en-GB"/>
        </w:rPr>
      </w:pPr>
      <w:r w:rsidRPr="008D3C1A">
        <w:rPr>
          <w:sz w:val="22"/>
          <w:szCs w:val="22"/>
          <w:lang w:val="en-GB"/>
        </w:rPr>
        <w:t xml:space="preserve">The </w:t>
      </w:r>
      <w:r w:rsidR="00C80AAD" w:rsidRPr="008D3C1A">
        <w:rPr>
          <w:sz w:val="22"/>
          <w:szCs w:val="22"/>
          <w:lang w:val="en-GB"/>
        </w:rPr>
        <w:t xml:space="preserve">fiscal </w:t>
      </w:r>
      <w:r w:rsidRPr="008D3C1A">
        <w:rPr>
          <w:sz w:val="22"/>
          <w:szCs w:val="22"/>
          <w:lang w:val="en-GB"/>
        </w:rPr>
        <w:t xml:space="preserve">disequilibria </w:t>
      </w:r>
      <w:r w:rsidR="00C80AAD" w:rsidRPr="008D3C1A">
        <w:rPr>
          <w:sz w:val="22"/>
          <w:szCs w:val="22"/>
          <w:lang w:val="en-GB"/>
        </w:rPr>
        <w:t xml:space="preserve">are </w:t>
      </w:r>
      <w:r w:rsidR="00FB64B9" w:rsidRPr="008D3C1A">
        <w:rPr>
          <w:sz w:val="22"/>
          <w:szCs w:val="22"/>
          <w:lang w:val="en-GB"/>
        </w:rPr>
        <w:t xml:space="preserve">also </w:t>
      </w:r>
      <w:r w:rsidR="00C80AAD" w:rsidRPr="008D3C1A">
        <w:rPr>
          <w:sz w:val="22"/>
          <w:szCs w:val="22"/>
          <w:lang w:val="en-GB"/>
        </w:rPr>
        <w:t>depicted</w:t>
      </w:r>
      <w:r w:rsidR="0090682C" w:rsidRPr="008D3C1A">
        <w:rPr>
          <w:sz w:val="22"/>
          <w:szCs w:val="22"/>
          <w:lang w:val="en-GB"/>
        </w:rPr>
        <w:t xml:space="preserve"> in </w:t>
      </w:r>
      <w:r w:rsidR="00045A06">
        <w:rPr>
          <w:sz w:val="22"/>
          <w:szCs w:val="22"/>
          <w:lang w:val="en-GB"/>
        </w:rPr>
        <w:t>t</w:t>
      </w:r>
      <w:r w:rsidR="00BB2E5D" w:rsidRPr="008D3C1A">
        <w:rPr>
          <w:sz w:val="22"/>
          <w:szCs w:val="22"/>
          <w:lang w:val="en-GB"/>
        </w:rPr>
        <w:t xml:space="preserve">able </w:t>
      </w:r>
      <w:r w:rsidR="00E50401" w:rsidRPr="008D3C1A">
        <w:rPr>
          <w:sz w:val="22"/>
          <w:szCs w:val="22"/>
          <w:lang w:val="en-GB"/>
        </w:rPr>
        <w:t>4</w:t>
      </w:r>
      <w:r w:rsidRPr="008D3C1A">
        <w:rPr>
          <w:sz w:val="22"/>
          <w:szCs w:val="22"/>
          <w:lang w:val="en-GB"/>
        </w:rPr>
        <w:t xml:space="preserve">. </w:t>
      </w:r>
      <w:r w:rsidR="00C80AAD" w:rsidRPr="008D3C1A">
        <w:rPr>
          <w:sz w:val="22"/>
          <w:szCs w:val="22"/>
          <w:lang w:val="en-GB"/>
        </w:rPr>
        <w:t xml:space="preserve">In this </w:t>
      </w:r>
      <w:r w:rsidR="008B1D42" w:rsidRPr="008D3C1A">
        <w:rPr>
          <w:sz w:val="22"/>
          <w:szCs w:val="22"/>
          <w:lang w:val="en-GB"/>
        </w:rPr>
        <w:t>six-</w:t>
      </w:r>
      <w:r w:rsidRPr="008D3C1A">
        <w:rPr>
          <w:sz w:val="22"/>
          <w:szCs w:val="22"/>
          <w:lang w:val="en-GB"/>
        </w:rPr>
        <w:t xml:space="preserve">year period, GDP increased by </w:t>
      </w:r>
      <w:r w:rsidR="00D116F4" w:rsidRPr="008D3C1A">
        <w:rPr>
          <w:sz w:val="22"/>
          <w:szCs w:val="22"/>
          <w:lang w:val="en-GB"/>
        </w:rPr>
        <w:t>26</w:t>
      </w:r>
      <w:r w:rsidR="005024D3" w:rsidRPr="008D3C1A">
        <w:rPr>
          <w:sz w:val="22"/>
          <w:szCs w:val="22"/>
          <w:lang w:val="en-GB"/>
        </w:rPr>
        <w:t xml:space="preserve"> per cent</w:t>
      </w:r>
      <w:r w:rsidRPr="008D3C1A">
        <w:rPr>
          <w:sz w:val="22"/>
          <w:szCs w:val="22"/>
          <w:lang w:val="en-GB"/>
        </w:rPr>
        <w:t xml:space="preserve">, </w:t>
      </w:r>
      <w:r w:rsidR="0064706F" w:rsidRPr="008D3C1A">
        <w:rPr>
          <w:sz w:val="22"/>
          <w:szCs w:val="22"/>
          <w:lang w:val="en-GB"/>
        </w:rPr>
        <w:t xml:space="preserve">while </w:t>
      </w:r>
      <w:r w:rsidR="00D116F4" w:rsidRPr="008D3C1A">
        <w:rPr>
          <w:sz w:val="22"/>
          <w:szCs w:val="22"/>
          <w:lang w:val="en-GB"/>
        </w:rPr>
        <w:t xml:space="preserve">fiscal expenditure rose </w:t>
      </w:r>
      <w:r w:rsidR="008B1D42" w:rsidRPr="008D3C1A">
        <w:rPr>
          <w:sz w:val="22"/>
          <w:szCs w:val="22"/>
          <w:lang w:val="en-GB"/>
        </w:rPr>
        <w:t xml:space="preserve">by </w:t>
      </w:r>
      <w:r w:rsidR="00D116F4" w:rsidRPr="008D3C1A">
        <w:rPr>
          <w:sz w:val="22"/>
          <w:szCs w:val="22"/>
          <w:lang w:val="en-GB"/>
        </w:rPr>
        <w:t>53</w:t>
      </w:r>
      <w:r w:rsidR="005024D3" w:rsidRPr="008D3C1A">
        <w:rPr>
          <w:sz w:val="22"/>
          <w:szCs w:val="22"/>
          <w:lang w:val="en-GB"/>
        </w:rPr>
        <w:t xml:space="preserve"> per cent</w:t>
      </w:r>
      <w:r w:rsidR="00D116F4" w:rsidRPr="00045A06">
        <w:rPr>
          <w:sz w:val="22"/>
          <w:szCs w:val="22"/>
          <w:lang w:val="en-GB"/>
        </w:rPr>
        <w:t xml:space="preserve">, without any significant tax reform. The difference was </w:t>
      </w:r>
      <w:r w:rsidR="00A84911" w:rsidRPr="00045A06">
        <w:rPr>
          <w:sz w:val="22"/>
          <w:szCs w:val="22"/>
          <w:lang w:val="en-GB"/>
        </w:rPr>
        <w:t>covered</w:t>
      </w:r>
      <w:r w:rsidR="00D116F4" w:rsidRPr="00045A06">
        <w:rPr>
          <w:sz w:val="22"/>
          <w:szCs w:val="22"/>
          <w:lang w:val="en-GB"/>
        </w:rPr>
        <w:t xml:space="preserve"> by fiscal income from copper exports</w:t>
      </w:r>
      <w:r w:rsidR="00A84911" w:rsidRPr="00045A06">
        <w:rPr>
          <w:sz w:val="22"/>
          <w:szCs w:val="22"/>
          <w:lang w:val="en-GB"/>
        </w:rPr>
        <w:t>.</w:t>
      </w:r>
      <w:r w:rsidR="00E77351" w:rsidRPr="00045A06">
        <w:rPr>
          <w:rStyle w:val="Refdenotaalpie"/>
          <w:sz w:val="22"/>
          <w:szCs w:val="22"/>
          <w:lang w:val="en-GB"/>
        </w:rPr>
        <w:footnoteReference w:id="18"/>
      </w:r>
      <w:r w:rsidR="000E5505" w:rsidRPr="00045A06">
        <w:rPr>
          <w:sz w:val="22"/>
          <w:szCs w:val="22"/>
          <w:lang w:val="en-GB"/>
        </w:rPr>
        <w:t xml:space="preserve">In fact, </w:t>
      </w:r>
      <w:r w:rsidR="00DE142A" w:rsidRPr="00045A06">
        <w:rPr>
          <w:sz w:val="22"/>
          <w:szCs w:val="22"/>
          <w:lang w:val="en-GB"/>
        </w:rPr>
        <w:t xml:space="preserve">there is </w:t>
      </w:r>
      <w:r w:rsidR="000E5505" w:rsidRPr="00045A06">
        <w:rPr>
          <w:sz w:val="22"/>
          <w:szCs w:val="22"/>
          <w:lang w:val="en-GB"/>
        </w:rPr>
        <w:t xml:space="preserve">a dangerous dependence </w:t>
      </w:r>
      <w:r w:rsidR="008D6EB2" w:rsidRPr="00045A06">
        <w:rPr>
          <w:sz w:val="22"/>
          <w:szCs w:val="22"/>
          <w:lang w:val="en-GB"/>
        </w:rPr>
        <w:t xml:space="preserve">of public expenditure and private imports </w:t>
      </w:r>
      <w:r w:rsidR="000E5505" w:rsidRPr="00045A06">
        <w:rPr>
          <w:sz w:val="22"/>
          <w:szCs w:val="22"/>
          <w:lang w:val="en-GB"/>
        </w:rPr>
        <w:t>on a high copper price.</w:t>
      </w:r>
      <w:r w:rsidR="000E5505" w:rsidRPr="00045A06">
        <w:rPr>
          <w:rStyle w:val="Refdenotaalpie"/>
          <w:sz w:val="22"/>
          <w:szCs w:val="22"/>
          <w:lang w:val="en-GB"/>
        </w:rPr>
        <w:footnoteReference w:id="19"/>
      </w:r>
      <w:r w:rsidR="008159E4" w:rsidRPr="00045A06">
        <w:rPr>
          <w:sz w:val="22"/>
          <w:szCs w:val="22"/>
          <w:lang w:val="en-GB"/>
        </w:rPr>
        <w:t>Several permanent increases in public expenditure</w:t>
      </w:r>
      <w:r w:rsidR="002F55C5" w:rsidRPr="008D3C1A">
        <w:rPr>
          <w:sz w:val="22"/>
          <w:szCs w:val="22"/>
          <w:lang w:val="en-GB"/>
        </w:rPr>
        <w:t>–</w:t>
      </w:r>
      <w:r w:rsidR="008159E4" w:rsidRPr="00045A06">
        <w:rPr>
          <w:sz w:val="22"/>
          <w:szCs w:val="22"/>
          <w:lang w:val="en-GB"/>
        </w:rPr>
        <w:t>such as continu</w:t>
      </w:r>
      <w:r w:rsidR="003665D1" w:rsidRPr="00045A06">
        <w:rPr>
          <w:sz w:val="22"/>
          <w:szCs w:val="22"/>
          <w:lang w:val="en-GB"/>
        </w:rPr>
        <w:t>ed implementation</w:t>
      </w:r>
      <w:r w:rsidR="008159E4" w:rsidRPr="00045A06">
        <w:rPr>
          <w:sz w:val="22"/>
          <w:szCs w:val="22"/>
          <w:lang w:val="en-GB"/>
        </w:rPr>
        <w:t xml:space="preserve"> of the social security reform of 2008</w:t>
      </w:r>
      <w:r w:rsidR="00C11397" w:rsidRPr="00045A06">
        <w:rPr>
          <w:sz w:val="22"/>
          <w:szCs w:val="22"/>
          <w:lang w:val="en-GB"/>
        </w:rPr>
        <w:t>, increase</w:t>
      </w:r>
      <w:r w:rsidR="00DF0D85" w:rsidRPr="00045A06">
        <w:rPr>
          <w:sz w:val="22"/>
          <w:szCs w:val="22"/>
          <w:lang w:val="en-GB"/>
        </w:rPr>
        <w:t xml:space="preserve"> in postnatal benefits</w:t>
      </w:r>
      <w:r w:rsidR="00BB2E5D" w:rsidRPr="00045A06">
        <w:rPr>
          <w:sz w:val="22"/>
          <w:szCs w:val="22"/>
          <w:lang w:val="en-GB"/>
        </w:rPr>
        <w:t xml:space="preserve"> and elimination</w:t>
      </w:r>
      <w:r w:rsidR="00DF0D85" w:rsidRPr="00045A06">
        <w:rPr>
          <w:sz w:val="22"/>
          <w:szCs w:val="22"/>
          <w:lang w:val="en-GB"/>
        </w:rPr>
        <w:t xml:space="preserve"> of a 7</w:t>
      </w:r>
      <w:r w:rsidR="005024D3" w:rsidRPr="008D3C1A">
        <w:rPr>
          <w:sz w:val="22"/>
          <w:szCs w:val="22"/>
          <w:lang w:val="en-GB"/>
        </w:rPr>
        <w:t xml:space="preserve"> per cent</w:t>
      </w:r>
      <w:r w:rsidR="00DF0D85" w:rsidRPr="00045A06">
        <w:rPr>
          <w:sz w:val="22"/>
          <w:szCs w:val="22"/>
          <w:lang w:val="en-GB"/>
        </w:rPr>
        <w:t xml:space="preserve"> tax on some pensions</w:t>
      </w:r>
      <w:r w:rsidR="002F55C5" w:rsidRPr="008D3C1A">
        <w:rPr>
          <w:sz w:val="22"/>
          <w:szCs w:val="22"/>
          <w:lang w:val="en-GB"/>
        </w:rPr>
        <w:t xml:space="preserve">– </w:t>
      </w:r>
      <w:r w:rsidR="003665D1" w:rsidRPr="00045A06">
        <w:rPr>
          <w:sz w:val="22"/>
          <w:szCs w:val="22"/>
          <w:lang w:val="en-GB"/>
        </w:rPr>
        <w:t xml:space="preserve">have </w:t>
      </w:r>
      <w:r w:rsidR="00C11397" w:rsidRPr="00045A06">
        <w:rPr>
          <w:sz w:val="22"/>
          <w:szCs w:val="22"/>
          <w:lang w:val="en-GB"/>
        </w:rPr>
        <w:t>been financed</w:t>
      </w:r>
      <w:r w:rsidR="003665D1" w:rsidRPr="00045A06">
        <w:rPr>
          <w:sz w:val="22"/>
          <w:szCs w:val="22"/>
          <w:lang w:val="en-GB"/>
        </w:rPr>
        <w:t xml:space="preserve"> to a minor degree by a tax adjustment </w:t>
      </w:r>
      <w:r w:rsidR="00C11397" w:rsidRPr="00045A06">
        <w:rPr>
          <w:sz w:val="22"/>
          <w:szCs w:val="22"/>
          <w:lang w:val="en-GB"/>
        </w:rPr>
        <w:t>that raised</w:t>
      </w:r>
      <w:r w:rsidR="003665D1" w:rsidRPr="00045A06">
        <w:rPr>
          <w:sz w:val="22"/>
          <w:szCs w:val="22"/>
          <w:lang w:val="en-GB"/>
        </w:rPr>
        <w:t xml:space="preserve"> the rate o</w:t>
      </w:r>
      <w:r w:rsidR="008A6C82" w:rsidRPr="00045A06">
        <w:rPr>
          <w:sz w:val="22"/>
          <w:szCs w:val="22"/>
          <w:lang w:val="en-GB"/>
        </w:rPr>
        <w:t>n</w:t>
      </w:r>
      <w:r w:rsidR="003665D1" w:rsidRPr="00045A06">
        <w:rPr>
          <w:sz w:val="22"/>
          <w:szCs w:val="22"/>
          <w:lang w:val="en-GB"/>
        </w:rPr>
        <w:t xml:space="preserve"> profits but reduced the progressive income tax. Financing has </w:t>
      </w:r>
      <w:r w:rsidR="008B1D42" w:rsidRPr="008D3C1A">
        <w:rPr>
          <w:sz w:val="22"/>
          <w:szCs w:val="22"/>
          <w:lang w:val="en-GB"/>
        </w:rPr>
        <w:t>mostly come</w:t>
      </w:r>
      <w:r w:rsidR="003665D1" w:rsidRPr="00045A06">
        <w:rPr>
          <w:sz w:val="22"/>
          <w:szCs w:val="22"/>
          <w:lang w:val="en-GB"/>
        </w:rPr>
        <w:t xml:space="preserve"> from the </w:t>
      </w:r>
      <w:r w:rsidR="008D6EB2" w:rsidRPr="00045A06">
        <w:rPr>
          <w:sz w:val="22"/>
          <w:szCs w:val="22"/>
          <w:lang w:val="en-GB"/>
        </w:rPr>
        <w:t xml:space="preserve">transitory </w:t>
      </w:r>
      <w:r w:rsidR="003665D1" w:rsidRPr="00045A06">
        <w:rPr>
          <w:sz w:val="22"/>
          <w:szCs w:val="22"/>
          <w:lang w:val="en-GB"/>
        </w:rPr>
        <w:t>tax proceeds generated by copper. In 2012</w:t>
      </w:r>
      <w:r w:rsidR="008B1D42" w:rsidRPr="008D3C1A">
        <w:rPr>
          <w:sz w:val="22"/>
          <w:szCs w:val="22"/>
          <w:lang w:val="en-GB"/>
        </w:rPr>
        <w:t>,</w:t>
      </w:r>
      <w:r w:rsidR="003665D1" w:rsidRPr="00045A06">
        <w:rPr>
          <w:sz w:val="22"/>
          <w:szCs w:val="22"/>
          <w:lang w:val="en-GB"/>
        </w:rPr>
        <w:t xml:space="preserve"> the </w:t>
      </w:r>
      <w:r w:rsidR="008847CD" w:rsidRPr="00045A06">
        <w:rPr>
          <w:sz w:val="22"/>
          <w:szCs w:val="22"/>
          <w:lang w:val="en-GB"/>
        </w:rPr>
        <w:t>Treasury</w:t>
      </w:r>
      <w:r w:rsidR="003665D1" w:rsidRPr="00045A06">
        <w:rPr>
          <w:sz w:val="22"/>
          <w:szCs w:val="22"/>
          <w:lang w:val="en-GB"/>
        </w:rPr>
        <w:t xml:space="preserve">spent the equivalent of </w:t>
      </w:r>
      <w:r w:rsidR="008D6EB2" w:rsidRPr="00045A06">
        <w:rPr>
          <w:sz w:val="22"/>
          <w:szCs w:val="22"/>
          <w:lang w:val="en-GB"/>
        </w:rPr>
        <w:t>fiscal</w:t>
      </w:r>
      <w:r w:rsidR="003665D1" w:rsidRPr="00045A06">
        <w:rPr>
          <w:sz w:val="22"/>
          <w:szCs w:val="22"/>
          <w:lang w:val="en-GB"/>
        </w:rPr>
        <w:t xml:space="preserve"> revenue</w:t>
      </w:r>
      <w:r w:rsidR="008D6EB2" w:rsidRPr="00045A06">
        <w:rPr>
          <w:sz w:val="22"/>
          <w:szCs w:val="22"/>
          <w:lang w:val="en-GB"/>
        </w:rPr>
        <w:t xml:space="preserve"> from coppercorresponding to</w:t>
      </w:r>
      <w:r w:rsidR="003665D1" w:rsidRPr="00045A06">
        <w:rPr>
          <w:sz w:val="22"/>
          <w:szCs w:val="22"/>
          <w:lang w:val="en-GB"/>
        </w:rPr>
        <w:t xml:space="preserve"> a US$3.30 price per pound</w:t>
      </w:r>
      <w:r w:rsidR="008B1D42" w:rsidRPr="008D3C1A">
        <w:rPr>
          <w:sz w:val="22"/>
          <w:szCs w:val="22"/>
          <w:lang w:val="en-GB"/>
        </w:rPr>
        <w:t>, compared with</w:t>
      </w:r>
      <w:r w:rsidR="00DE142A" w:rsidRPr="00045A06">
        <w:rPr>
          <w:sz w:val="22"/>
          <w:szCs w:val="22"/>
          <w:lang w:val="en-GB"/>
        </w:rPr>
        <w:t xml:space="preserve"> less than </w:t>
      </w:r>
      <w:r w:rsidR="00090EFB">
        <w:rPr>
          <w:sz w:val="22"/>
          <w:szCs w:val="22"/>
          <w:lang w:val="en-GB"/>
        </w:rPr>
        <w:t xml:space="preserve">a current price of </w:t>
      </w:r>
      <w:r w:rsidR="003665D1" w:rsidRPr="00045A06">
        <w:rPr>
          <w:sz w:val="22"/>
          <w:szCs w:val="22"/>
          <w:lang w:val="en-GB"/>
        </w:rPr>
        <w:t>US</w:t>
      </w:r>
      <w:r w:rsidR="00DE142A" w:rsidRPr="00045A06">
        <w:rPr>
          <w:sz w:val="22"/>
          <w:szCs w:val="22"/>
          <w:lang w:val="en-GB"/>
        </w:rPr>
        <w:t>$</w:t>
      </w:r>
      <w:r w:rsidR="003665D1" w:rsidRPr="00045A06">
        <w:rPr>
          <w:sz w:val="22"/>
          <w:szCs w:val="22"/>
          <w:lang w:val="en-GB"/>
        </w:rPr>
        <w:t>1.</w:t>
      </w:r>
      <w:r w:rsidR="00090EFB">
        <w:rPr>
          <w:sz w:val="22"/>
          <w:szCs w:val="22"/>
          <w:lang w:val="en-GB"/>
        </w:rPr>
        <w:t>0</w:t>
      </w:r>
      <w:r w:rsidR="003665D1" w:rsidRPr="00045A06">
        <w:rPr>
          <w:sz w:val="22"/>
          <w:szCs w:val="22"/>
          <w:lang w:val="en-GB"/>
        </w:rPr>
        <w:t>0</w:t>
      </w:r>
      <w:r w:rsidR="008B1D42" w:rsidRPr="008D3C1A">
        <w:rPr>
          <w:sz w:val="22"/>
          <w:szCs w:val="22"/>
          <w:lang w:val="en-GB"/>
        </w:rPr>
        <w:t xml:space="preserve"> in 200</w:t>
      </w:r>
      <w:r w:rsidR="00090EFB">
        <w:rPr>
          <w:sz w:val="22"/>
          <w:szCs w:val="22"/>
          <w:lang w:val="en-GB"/>
        </w:rPr>
        <w:t>4-07</w:t>
      </w:r>
      <w:r w:rsidR="003665D1" w:rsidRPr="00045A06">
        <w:rPr>
          <w:sz w:val="22"/>
          <w:szCs w:val="22"/>
          <w:lang w:val="en-GB"/>
        </w:rPr>
        <w:t xml:space="preserve">. </w:t>
      </w:r>
    </w:p>
    <w:p w:rsidR="00FB64B9" w:rsidRPr="00045A06" w:rsidRDefault="00DF0D85" w:rsidP="004E552D">
      <w:pPr>
        <w:spacing w:after="120" w:line="360" w:lineRule="auto"/>
        <w:ind w:firstLine="708"/>
        <w:jc w:val="both"/>
        <w:rPr>
          <w:sz w:val="22"/>
          <w:szCs w:val="22"/>
          <w:lang w:val="en-GB"/>
        </w:rPr>
      </w:pPr>
      <w:r w:rsidRPr="00045A06">
        <w:rPr>
          <w:sz w:val="22"/>
          <w:szCs w:val="22"/>
          <w:lang w:val="en-GB"/>
        </w:rPr>
        <w:t>O</w:t>
      </w:r>
      <w:r w:rsidR="004D3955" w:rsidRPr="00045A06">
        <w:rPr>
          <w:sz w:val="22"/>
          <w:szCs w:val="22"/>
          <w:lang w:val="en-GB"/>
        </w:rPr>
        <w:t>bviously</w:t>
      </w:r>
      <w:r w:rsidR="008B1D42" w:rsidRPr="008D3C1A">
        <w:rPr>
          <w:sz w:val="22"/>
          <w:szCs w:val="22"/>
          <w:lang w:val="en-GB"/>
        </w:rPr>
        <w:t>,</w:t>
      </w:r>
      <w:r w:rsidR="004D3955" w:rsidRPr="00045A06">
        <w:rPr>
          <w:sz w:val="22"/>
          <w:szCs w:val="22"/>
          <w:lang w:val="en-GB"/>
        </w:rPr>
        <w:t xml:space="preserve"> permanent expenditure </w:t>
      </w:r>
      <w:r w:rsidRPr="00045A06">
        <w:rPr>
          <w:sz w:val="22"/>
          <w:szCs w:val="22"/>
          <w:lang w:val="en-GB"/>
        </w:rPr>
        <w:t xml:space="preserve">already at work and </w:t>
      </w:r>
      <w:r w:rsidR="008A6C82" w:rsidRPr="00045A06">
        <w:rPr>
          <w:sz w:val="22"/>
          <w:szCs w:val="22"/>
          <w:lang w:val="en-GB"/>
        </w:rPr>
        <w:t>other</w:t>
      </w:r>
      <w:r w:rsidRPr="00045A06">
        <w:rPr>
          <w:sz w:val="22"/>
          <w:szCs w:val="22"/>
          <w:lang w:val="en-GB"/>
        </w:rPr>
        <w:t xml:space="preserve"> required to finance new public goods and </w:t>
      </w:r>
      <w:r w:rsidR="008A6C82" w:rsidRPr="00045A06">
        <w:rPr>
          <w:sz w:val="22"/>
          <w:szCs w:val="22"/>
          <w:lang w:val="en-GB"/>
        </w:rPr>
        <w:t xml:space="preserve">inclusive </w:t>
      </w:r>
      <w:r w:rsidRPr="00045A06">
        <w:rPr>
          <w:sz w:val="22"/>
          <w:szCs w:val="22"/>
          <w:lang w:val="en-GB"/>
        </w:rPr>
        <w:t>productive development demand</w:t>
      </w:r>
      <w:r w:rsidR="004D3955" w:rsidRPr="00045A06">
        <w:rPr>
          <w:sz w:val="22"/>
          <w:szCs w:val="22"/>
          <w:lang w:val="en-GB"/>
        </w:rPr>
        <w:t xml:space="preserve"> a substantive tax reform </w:t>
      </w:r>
      <w:r w:rsidRPr="00045A06">
        <w:rPr>
          <w:sz w:val="22"/>
          <w:szCs w:val="22"/>
          <w:lang w:val="en-GB"/>
        </w:rPr>
        <w:t>that collects in a progressive way</w:t>
      </w:r>
      <w:r w:rsidR="004D3955" w:rsidRPr="00045A06">
        <w:rPr>
          <w:sz w:val="22"/>
          <w:szCs w:val="22"/>
          <w:lang w:val="en-GB"/>
        </w:rPr>
        <w:t>.</w:t>
      </w:r>
    </w:p>
    <w:p w:rsidR="00FB64B9" w:rsidRPr="00045A06" w:rsidRDefault="00FB64B9" w:rsidP="004E552D">
      <w:pPr>
        <w:spacing w:after="120" w:line="360" w:lineRule="auto"/>
        <w:ind w:left="62" w:firstLine="658"/>
        <w:jc w:val="both"/>
        <w:rPr>
          <w:sz w:val="22"/>
          <w:szCs w:val="22"/>
          <w:lang w:val="en-GB"/>
        </w:rPr>
      </w:pPr>
      <w:r w:rsidRPr="00045A06">
        <w:rPr>
          <w:sz w:val="22"/>
          <w:szCs w:val="22"/>
          <w:lang w:val="en-GB"/>
        </w:rPr>
        <w:t>I</w:t>
      </w:r>
      <w:r w:rsidR="00EB4515" w:rsidRPr="00045A06">
        <w:rPr>
          <w:sz w:val="22"/>
          <w:szCs w:val="22"/>
          <w:lang w:val="en-GB"/>
        </w:rPr>
        <w:t>n brief,</w:t>
      </w:r>
      <w:r w:rsidRPr="00045A06">
        <w:rPr>
          <w:sz w:val="22"/>
          <w:szCs w:val="22"/>
          <w:lang w:val="en-GB"/>
        </w:rPr>
        <w:t xml:space="preserve"> the inflation rate had been notably moderate. In contrast, there have not been sustainable balances </w:t>
      </w:r>
      <w:r w:rsidR="00C11397" w:rsidRPr="00045A06">
        <w:rPr>
          <w:sz w:val="22"/>
          <w:szCs w:val="22"/>
          <w:lang w:val="en-GB"/>
        </w:rPr>
        <w:t>between (quantum</w:t>
      </w:r>
      <w:r w:rsidRPr="00045A06">
        <w:rPr>
          <w:sz w:val="22"/>
          <w:szCs w:val="22"/>
          <w:lang w:val="en-GB"/>
        </w:rPr>
        <w:t>) export supply and import demand</w:t>
      </w:r>
      <w:r w:rsidR="008B1D42" w:rsidRPr="008D3C1A">
        <w:rPr>
          <w:sz w:val="22"/>
          <w:szCs w:val="22"/>
          <w:lang w:val="en-GB"/>
        </w:rPr>
        <w:t>,</w:t>
      </w:r>
      <w:r w:rsidR="00303995">
        <w:rPr>
          <w:sz w:val="22"/>
          <w:szCs w:val="22"/>
          <w:lang w:val="en-GB"/>
        </w:rPr>
        <w:t xml:space="preserve">nor </w:t>
      </w:r>
      <w:r w:rsidRPr="00045A06">
        <w:rPr>
          <w:sz w:val="22"/>
          <w:szCs w:val="22"/>
          <w:lang w:val="en-GB"/>
        </w:rPr>
        <w:t>between permanent public expenditures and structural tax income</w:t>
      </w:r>
      <w:r w:rsidR="008B1D42" w:rsidRPr="008D3C1A">
        <w:rPr>
          <w:sz w:val="22"/>
          <w:szCs w:val="22"/>
          <w:lang w:val="en-GB"/>
        </w:rPr>
        <w:t xml:space="preserve">,as well as </w:t>
      </w:r>
      <w:r w:rsidRPr="00045A06">
        <w:rPr>
          <w:sz w:val="22"/>
          <w:szCs w:val="22"/>
          <w:lang w:val="en-GB"/>
        </w:rPr>
        <w:t>between the evolution of aggregate demand and potential GDP.</w:t>
      </w:r>
      <w:r w:rsidR="0034327C" w:rsidRPr="00045A06">
        <w:rPr>
          <w:sz w:val="22"/>
          <w:szCs w:val="22"/>
          <w:lang w:val="en-GB"/>
        </w:rPr>
        <w:t xml:space="preserve"> The real economy has responded with a modest 3.9</w:t>
      </w:r>
      <w:r w:rsidR="005024D3" w:rsidRPr="008D3C1A">
        <w:rPr>
          <w:sz w:val="22"/>
          <w:szCs w:val="22"/>
          <w:lang w:val="en-GB"/>
        </w:rPr>
        <w:t xml:space="preserve"> per cent</w:t>
      </w:r>
      <w:r w:rsidR="0034327C" w:rsidRPr="00045A06">
        <w:rPr>
          <w:sz w:val="22"/>
          <w:szCs w:val="22"/>
          <w:lang w:val="en-GB"/>
        </w:rPr>
        <w:t xml:space="preserve"> average GDP growth</w:t>
      </w:r>
      <w:r w:rsidR="008B1D42" w:rsidRPr="008D3C1A">
        <w:rPr>
          <w:sz w:val="22"/>
          <w:szCs w:val="22"/>
          <w:lang w:val="en-GB"/>
        </w:rPr>
        <w:t>,</w:t>
      </w:r>
      <w:r w:rsidR="009B06FA">
        <w:rPr>
          <w:sz w:val="22"/>
          <w:szCs w:val="22"/>
          <w:lang w:val="en-GB"/>
        </w:rPr>
        <w:t xml:space="preserve">quite </w:t>
      </w:r>
      <w:r w:rsidR="0034327C" w:rsidRPr="00045A06">
        <w:rPr>
          <w:sz w:val="22"/>
          <w:szCs w:val="22"/>
          <w:lang w:val="en-GB"/>
        </w:rPr>
        <w:t>lower than the 7.1</w:t>
      </w:r>
      <w:r w:rsidR="005024D3" w:rsidRPr="008D3C1A">
        <w:rPr>
          <w:sz w:val="22"/>
          <w:szCs w:val="22"/>
          <w:lang w:val="en-GB"/>
        </w:rPr>
        <w:t xml:space="preserve"> per cent</w:t>
      </w:r>
      <w:r w:rsidR="0034327C" w:rsidRPr="00045A06">
        <w:rPr>
          <w:sz w:val="22"/>
          <w:szCs w:val="22"/>
          <w:lang w:val="en-GB"/>
        </w:rPr>
        <w:t xml:space="preserve"> recorded in 1990</w:t>
      </w:r>
      <w:r w:rsidR="002F55C5" w:rsidRPr="008D3C1A">
        <w:rPr>
          <w:sz w:val="22"/>
          <w:szCs w:val="22"/>
          <w:lang w:val="en-GB"/>
        </w:rPr>
        <w:t>–</w:t>
      </w:r>
      <w:r w:rsidR="0034327C" w:rsidRPr="00045A06">
        <w:rPr>
          <w:sz w:val="22"/>
          <w:szCs w:val="22"/>
          <w:lang w:val="en-GB"/>
        </w:rPr>
        <w:t>98.</w:t>
      </w:r>
    </w:p>
    <w:p w:rsidR="00667073" w:rsidRPr="00045A06" w:rsidRDefault="00667073" w:rsidP="00AC15A7">
      <w:pPr>
        <w:pStyle w:val="Sangra2detindependiente"/>
        <w:spacing w:line="360" w:lineRule="auto"/>
        <w:ind w:left="2858" w:firstLine="0"/>
        <w:rPr>
          <w:rFonts w:ascii="Times New Roman" w:hAnsi="Times New Roman"/>
          <w:b/>
          <w:sz w:val="22"/>
          <w:szCs w:val="22"/>
          <w:lang w:val="en-GB"/>
        </w:rPr>
      </w:pPr>
    </w:p>
    <w:p w:rsidR="00375161" w:rsidRPr="00045A06" w:rsidRDefault="00375161" w:rsidP="002208C0">
      <w:pPr>
        <w:pStyle w:val="Sangra2detindependiente"/>
        <w:numPr>
          <w:ilvl w:val="0"/>
          <w:numId w:val="7"/>
        </w:numPr>
        <w:spacing w:after="120" w:line="360" w:lineRule="auto"/>
        <w:ind w:left="720"/>
        <w:jc w:val="center"/>
        <w:outlineLvl w:val="0"/>
        <w:rPr>
          <w:rFonts w:ascii="Times New Roman" w:hAnsi="Times New Roman"/>
          <w:b/>
          <w:sz w:val="28"/>
          <w:szCs w:val="28"/>
          <w:lang w:val="en-GB"/>
        </w:rPr>
      </w:pPr>
      <w:bookmarkStart w:id="7" w:name="_Toc401076034"/>
      <w:r w:rsidRPr="00045A06">
        <w:rPr>
          <w:rFonts w:ascii="Times New Roman" w:hAnsi="Times New Roman"/>
          <w:b/>
          <w:sz w:val="28"/>
          <w:szCs w:val="28"/>
          <w:lang w:val="en-GB"/>
        </w:rPr>
        <w:t xml:space="preserve">Closing </w:t>
      </w:r>
      <w:r w:rsidR="00045A06">
        <w:rPr>
          <w:rFonts w:ascii="Times New Roman" w:hAnsi="Times New Roman"/>
          <w:b/>
          <w:sz w:val="28"/>
          <w:szCs w:val="28"/>
          <w:lang w:val="en-GB"/>
        </w:rPr>
        <w:t>Remarks</w:t>
      </w:r>
      <w:bookmarkEnd w:id="7"/>
    </w:p>
    <w:p w:rsidR="00375161" w:rsidRPr="00045A06" w:rsidRDefault="00375161" w:rsidP="00AC15A7">
      <w:pPr>
        <w:spacing w:line="360" w:lineRule="auto"/>
        <w:jc w:val="both"/>
        <w:rPr>
          <w:sz w:val="22"/>
          <w:szCs w:val="22"/>
          <w:lang w:val="en-GB"/>
        </w:rPr>
      </w:pPr>
      <w:r w:rsidRPr="00045A06">
        <w:rPr>
          <w:sz w:val="22"/>
          <w:szCs w:val="22"/>
          <w:lang w:val="en-GB"/>
        </w:rPr>
        <w:t>One distinctive feature of neo-liberalism is its neglect of the implications of initial inequality and sectoral imbalances; of the heterogeneity in productive structures, among diverse economic agents, and in access to voice and power of different sectors; of the social and allocative implications of market segmentations</w:t>
      </w:r>
      <w:r w:rsidR="008B1D42" w:rsidRPr="008D3C1A">
        <w:rPr>
          <w:sz w:val="22"/>
          <w:szCs w:val="22"/>
          <w:lang w:val="en-GB"/>
        </w:rPr>
        <w:t>;</w:t>
      </w:r>
      <w:r w:rsidRPr="00045A06">
        <w:rPr>
          <w:sz w:val="22"/>
          <w:szCs w:val="22"/>
          <w:lang w:val="en-GB"/>
        </w:rPr>
        <w:t xml:space="preserve"> and of the difficulty of </w:t>
      </w:r>
      <w:r w:rsidR="008B1D42" w:rsidRPr="008D3C1A">
        <w:rPr>
          <w:sz w:val="22"/>
          <w:szCs w:val="22"/>
          <w:lang w:val="en-GB"/>
        </w:rPr>
        <w:t xml:space="preserve">transparently </w:t>
      </w:r>
      <w:r w:rsidRPr="00045A06">
        <w:rPr>
          <w:sz w:val="22"/>
          <w:szCs w:val="22"/>
          <w:lang w:val="en-GB"/>
        </w:rPr>
        <w:t xml:space="preserve">transmitting information to </w:t>
      </w:r>
      <w:r w:rsidR="00EB4515" w:rsidRPr="00045A06">
        <w:rPr>
          <w:sz w:val="22"/>
          <w:szCs w:val="22"/>
          <w:lang w:val="en-GB"/>
        </w:rPr>
        <w:t>diverse</w:t>
      </w:r>
      <w:r w:rsidRPr="00045A06">
        <w:rPr>
          <w:sz w:val="22"/>
          <w:szCs w:val="22"/>
          <w:lang w:val="en-GB"/>
        </w:rPr>
        <w:t xml:space="preserve"> economic agents so that they can </w:t>
      </w:r>
      <w:r w:rsidR="00011A31" w:rsidRPr="00045A06">
        <w:rPr>
          <w:sz w:val="22"/>
          <w:szCs w:val="22"/>
          <w:lang w:val="en-GB"/>
        </w:rPr>
        <w:t>face comparable opportunities</w:t>
      </w:r>
      <w:r w:rsidR="00E51558" w:rsidRPr="00045A06">
        <w:rPr>
          <w:sz w:val="22"/>
          <w:szCs w:val="22"/>
          <w:lang w:val="en-GB"/>
        </w:rPr>
        <w:t>.</w:t>
      </w:r>
    </w:p>
    <w:p w:rsidR="00375161" w:rsidRPr="008D3C1A" w:rsidRDefault="00375161" w:rsidP="00AC15A7">
      <w:pPr>
        <w:spacing w:line="360" w:lineRule="auto"/>
        <w:ind w:firstLine="720"/>
        <w:jc w:val="both"/>
        <w:rPr>
          <w:sz w:val="22"/>
          <w:szCs w:val="22"/>
          <w:lang w:val="en-GB"/>
        </w:rPr>
      </w:pPr>
      <w:r w:rsidRPr="00045A06">
        <w:rPr>
          <w:sz w:val="22"/>
          <w:szCs w:val="22"/>
          <w:lang w:val="en-GB"/>
        </w:rPr>
        <w:lastRenderedPageBreak/>
        <w:t>Ultimately, neo-liberalism underestimates the frequent presence of destabili</w:t>
      </w:r>
      <w:r w:rsidR="00EA5066" w:rsidRPr="008D3C1A">
        <w:rPr>
          <w:sz w:val="22"/>
          <w:szCs w:val="22"/>
          <w:lang w:val="en-GB"/>
        </w:rPr>
        <w:t>sing</w:t>
      </w:r>
      <w:r w:rsidR="004421AF" w:rsidRPr="004421AF">
        <w:rPr>
          <w:sz w:val="22"/>
          <w:szCs w:val="22"/>
          <w:lang w:val="en-GB"/>
        </w:rPr>
        <w:t xml:space="preserve"> adjustment processes, lags and overshooting,</w:t>
      </w:r>
      <w:r w:rsidR="008B1D42" w:rsidRPr="008D3C1A">
        <w:rPr>
          <w:sz w:val="22"/>
          <w:szCs w:val="22"/>
          <w:lang w:val="en-GB"/>
        </w:rPr>
        <w:t xml:space="preserve"> as well as</w:t>
      </w:r>
      <w:r w:rsidR="004421AF" w:rsidRPr="004421AF">
        <w:rPr>
          <w:sz w:val="22"/>
          <w:szCs w:val="22"/>
          <w:lang w:val="en-GB"/>
        </w:rPr>
        <w:t xml:space="preserve"> the incompleteness of markets and institutions in developing nations. These elements represent severe obstacles that prevent “neutral” and indirect global economic policies from being effective.</w:t>
      </w:r>
    </w:p>
    <w:p w:rsidR="000B5A71" w:rsidRPr="008D3C1A" w:rsidRDefault="004421AF" w:rsidP="00AC15A7">
      <w:pPr>
        <w:pStyle w:val="Sangra2detindependiente"/>
        <w:spacing w:line="360" w:lineRule="auto"/>
        <w:ind w:left="0" w:firstLine="708"/>
        <w:rPr>
          <w:rFonts w:ascii="Times New Roman" w:hAnsi="Times New Roman"/>
          <w:sz w:val="22"/>
          <w:szCs w:val="22"/>
          <w:lang w:val="en-GB"/>
        </w:rPr>
      </w:pPr>
      <w:r w:rsidRPr="004421AF">
        <w:rPr>
          <w:rFonts w:ascii="Times New Roman" w:hAnsi="Times New Roman"/>
          <w:sz w:val="22"/>
          <w:szCs w:val="22"/>
          <w:lang w:val="en-GB"/>
        </w:rPr>
        <w:t xml:space="preserve">Excepting the first years of return to democracy in 1990, </w:t>
      </w:r>
      <w:r w:rsidR="008B1D42" w:rsidRPr="008D3C1A">
        <w:rPr>
          <w:rFonts w:ascii="Times New Roman" w:hAnsi="Times New Roman"/>
          <w:sz w:val="22"/>
          <w:szCs w:val="22"/>
          <w:lang w:val="en-GB"/>
        </w:rPr>
        <w:t xml:space="preserve">an output gap prevailed for </w:t>
      </w:r>
      <w:r w:rsidRPr="004421AF">
        <w:rPr>
          <w:rFonts w:ascii="Times New Roman" w:hAnsi="Times New Roman"/>
          <w:sz w:val="22"/>
          <w:szCs w:val="22"/>
          <w:lang w:val="en-GB"/>
        </w:rPr>
        <w:t>most of the time. The Chilean economy has been out of real macroeconomic equilibria, with significant output gaps, with only in 1991</w:t>
      </w:r>
      <w:r w:rsidR="002F55C5" w:rsidRPr="008D3C1A">
        <w:rPr>
          <w:rFonts w:ascii="Times New Roman" w:hAnsi="Times New Roman"/>
          <w:sz w:val="22"/>
          <w:szCs w:val="22"/>
          <w:lang w:val="en-GB"/>
        </w:rPr>
        <w:t>–</w:t>
      </w:r>
      <w:r w:rsidRPr="004421AF">
        <w:rPr>
          <w:rFonts w:ascii="Times New Roman" w:hAnsi="Times New Roman"/>
          <w:sz w:val="22"/>
          <w:szCs w:val="22"/>
          <w:lang w:val="en-GB"/>
        </w:rPr>
        <w:t>97, 2007 and 2012</w:t>
      </w:r>
      <w:r w:rsidR="002F55C5" w:rsidRPr="008D3C1A">
        <w:rPr>
          <w:rFonts w:ascii="Times New Roman" w:hAnsi="Times New Roman"/>
          <w:sz w:val="22"/>
          <w:szCs w:val="22"/>
          <w:lang w:val="en-GB"/>
        </w:rPr>
        <w:t>–</w:t>
      </w:r>
      <w:r w:rsidRPr="004421AF">
        <w:rPr>
          <w:rFonts w:ascii="Times New Roman" w:hAnsi="Times New Roman"/>
          <w:sz w:val="22"/>
          <w:szCs w:val="22"/>
          <w:lang w:val="en-GB"/>
        </w:rPr>
        <w:t xml:space="preserve">13 operating close to potential GDP. </w:t>
      </w:r>
      <w:r w:rsidR="008B1D42" w:rsidRPr="008D3C1A">
        <w:rPr>
          <w:rFonts w:ascii="Times New Roman" w:hAnsi="Times New Roman"/>
          <w:sz w:val="22"/>
          <w:szCs w:val="22"/>
          <w:lang w:val="en-GB"/>
        </w:rPr>
        <w:t>Furthermore</w:t>
      </w:r>
      <w:r w:rsidRPr="004421AF">
        <w:rPr>
          <w:rFonts w:ascii="Times New Roman" w:hAnsi="Times New Roman"/>
          <w:sz w:val="22"/>
          <w:szCs w:val="22"/>
          <w:lang w:val="en-GB"/>
        </w:rPr>
        <w:t xml:space="preserve">, a quite unstable outlier exchange rate has worsened trade performance. </w:t>
      </w:r>
    </w:p>
    <w:p w:rsidR="00375161" w:rsidRPr="008D3C1A" w:rsidRDefault="004421AF" w:rsidP="00AC15A7">
      <w:pPr>
        <w:pStyle w:val="Sangra2detindependiente"/>
        <w:spacing w:line="360" w:lineRule="auto"/>
        <w:ind w:left="0" w:firstLine="708"/>
        <w:rPr>
          <w:rFonts w:ascii="Times New Roman" w:hAnsi="Times New Roman"/>
          <w:sz w:val="22"/>
          <w:szCs w:val="22"/>
          <w:lang w:val="en-GB"/>
        </w:rPr>
      </w:pPr>
      <w:r w:rsidRPr="004421AF">
        <w:rPr>
          <w:rFonts w:ascii="Times New Roman" w:hAnsi="Times New Roman"/>
          <w:sz w:val="22"/>
          <w:szCs w:val="22"/>
          <w:lang w:val="en-GB"/>
        </w:rPr>
        <w:t xml:space="preserve">The specific policies and approaches used in each of the three episodes varied, evolving from the extreme naiveté of the 1970s into the pragmatic approach of the early 1990s. The end of the century saw a </w:t>
      </w:r>
      <w:r w:rsidR="008B1D42" w:rsidRPr="008D3C1A">
        <w:rPr>
          <w:rFonts w:ascii="Times New Roman" w:hAnsi="Times New Roman"/>
          <w:sz w:val="22"/>
          <w:szCs w:val="22"/>
          <w:lang w:val="en-GB"/>
        </w:rPr>
        <w:t>move</w:t>
      </w:r>
      <w:r w:rsidRPr="004421AF">
        <w:rPr>
          <w:rFonts w:ascii="Times New Roman" w:hAnsi="Times New Roman"/>
          <w:sz w:val="22"/>
          <w:szCs w:val="22"/>
          <w:lang w:val="en-GB"/>
        </w:rPr>
        <w:t xml:space="preserve"> away from macroeconomic sustainability as authorities gave in to the temptation to move toward financial globali</w:t>
      </w:r>
      <w:r w:rsidR="00EA5066" w:rsidRPr="008D3C1A">
        <w:rPr>
          <w:rFonts w:ascii="Times New Roman" w:hAnsi="Times New Roman"/>
          <w:sz w:val="22"/>
          <w:szCs w:val="22"/>
          <w:lang w:val="en-GB"/>
        </w:rPr>
        <w:t>sation</w:t>
      </w:r>
      <w:r w:rsidRPr="004421AF">
        <w:rPr>
          <w:rFonts w:ascii="Times New Roman" w:hAnsi="Times New Roman"/>
          <w:sz w:val="22"/>
          <w:szCs w:val="22"/>
          <w:lang w:val="en-GB"/>
        </w:rPr>
        <w:t xml:space="preserve"> without properly taking account of the underlying risks.</w:t>
      </w:r>
    </w:p>
    <w:p w:rsidR="000B5A71" w:rsidRPr="008D3C1A" w:rsidRDefault="004421AF" w:rsidP="00AC15A7">
      <w:pPr>
        <w:pStyle w:val="Sangra2detindependiente"/>
        <w:spacing w:line="360" w:lineRule="auto"/>
        <w:ind w:left="0" w:firstLine="708"/>
        <w:rPr>
          <w:rFonts w:ascii="Times New Roman" w:hAnsi="Times New Roman"/>
          <w:sz w:val="22"/>
          <w:szCs w:val="22"/>
          <w:lang w:val="en-GB"/>
        </w:rPr>
      </w:pPr>
      <w:r w:rsidRPr="004421AF">
        <w:rPr>
          <w:rFonts w:ascii="Times New Roman" w:hAnsi="Times New Roman"/>
          <w:sz w:val="22"/>
          <w:szCs w:val="22"/>
          <w:lang w:val="en-GB"/>
        </w:rPr>
        <w:t>For both growth and equity</w:t>
      </w:r>
      <w:r w:rsidR="008B1D42" w:rsidRPr="008D3C1A">
        <w:rPr>
          <w:rFonts w:ascii="Times New Roman" w:hAnsi="Times New Roman"/>
          <w:sz w:val="22"/>
          <w:szCs w:val="22"/>
          <w:lang w:val="en-GB"/>
        </w:rPr>
        <w:t>,</w:t>
      </w:r>
      <w:r w:rsidRPr="004421AF">
        <w:rPr>
          <w:rFonts w:ascii="Times New Roman" w:hAnsi="Times New Roman"/>
          <w:sz w:val="22"/>
          <w:szCs w:val="22"/>
          <w:lang w:val="en-GB"/>
        </w:rPr>
        <w:t xml:space="preserve"> it is necessary to reach sustainable real macroeconomic balances. Beyond low inflation and fiscal responsibility, </w:t>
      </w:r>
      <w:r w:rsidR="008B1D42" w:rsidRPr="008D3C1A">
        <w:rPr>
          <w:rFonts w:ascii="Times New Roman" w:hAnsi="Times New Roman"/>
          <w:sz w:val="22"/>
          <w:szCs w:val="22"/>
          <w:lang w:val="en-GB"/>
        </w:rPr>
        <w:t>an</w:t>
      </w:r>
      <w:r w:rsidRPr="004421AF">
        <w:rPr>
          <w:rFonts w:ascii="Times New Roman" w:hAnsi="Times New Roman"/>
          <w:sz w:val="22"/>
          <w:szCs w:val="22"/>
          <w:lang w:val="en-GB"/>
        </w:rPr>
        <w:t xml:space="preserve"> exchange rate management functional for productive development</w:t>
      </w:r>
      <w:r w:rsidR="008B1D42" w:rsidRPr="008D3C1A">
        <w:rPr>
          <w:rFonts w:ascii="Times New Roman" w:hAnsi="Times New Roman"/>
          <w:sz w:val="22"/>
          <w:szCs w:val="22"/>
          <w:lang w:val="en-GB"/>
        </w:rPr>
        <w:t xml:space="preserve"> and </w:t>
      </w:r>
      <w:r w:rsidRPr="004421AF">
        <w:rPr>
          <w:rFonts w:ascii="Times New Roman" w:hAnsi="Times New Roman"/>
          <w:sz w:val="22"/>
          <w:szCs w:val="22"/>
          <w:lang w:val="en-GB"/>
        </w:rPr>
        <w:t xml:space="preserve">an active management of aggregate demand in levels consistent with productive capacity are </w:t>
      </w:r>
      <w:r w:rsidR="008B1D42" w:rsidRPr="008D3C1A">
        <w:rPr>
          <w:rFonts w:ascii="Times New Roman" w:hAnsi="Times New Roman"/>
          <w:sz w:val="22"/>
          <w:szCs w:val="22"/>
          <w:lang w:val="en-GB"/>
        </w:rPr>
        <w:t xml:space="preserve">also </w:t>
      </w:r>
      <w:r w:rsidRPr="004421AF">
        <w:rPr>
          <w:rFonts w:ascii="Times New Roman" w:hAnsi="Times New Roman"/>
          <w:sz w:val="22"/>
          <w:szCs w:val="22"/>
          <w:lang w:val="en-GB"/>
        </w:rPr>
        <w:t xml:space="preserve">required. The recent performance has been deficient on this matter. </w:t>
      </w:r>
      <w:r w:rsidR="008B1D42" w:rsidRPr="008D3C1A">
        <w:rPr>
          <w:rFonts w:ascii="Times New Roman" w:hAnsi="Times New Roman"/>
          <w:sz w:val="22"/>
          <w:szCs w:val="22"/>
          <w:lang w:val="en-GB"/>
        </w:rPr>
        <w:t>In returning</w:t>
      </w:r>
      <w:r w:rsidRPr="004421AF">
        <w:rPr>
          <w:rFonts w:ascii="Times New Roman" w:hAnsi="Times New Roman"/>
          <w:sz w:val="22"/>
          <w:szCs w:val="22"/>
          <w:lang w:val="en-GB"/>
        </w:rPr>
        <w:t xml:space="preserve"> to macroeconomic policies for development, the regulation of speculative capital flows merits </w:t>
      </w:r>
      <w:r w:rsidR="008B1D42" w:rsidRPr="008D3C1A">
        <w:rPr>
          <w:rFonts w:ascii="Times New Roman" w:hAnsi="Times New Roman"/>
          <w:sz w:val="22"/>
          <w:szCs w:val="22"/>
          <w:lang w:val="en-GB"/>
        </w:rPr>
        <w:t>top billing among</w:t>
      </w:r>
      <w:r w:rsidRPr="004421AF">
        <w:rPr>
          <w:rFonts w:ascii="Times New Roman" w:hAnsi="Times New Roman"/>
          <w:sz w:val="22"/>
          <w:szCs w:val="22"/>
          <w:lang w:val="en-GB"/>
        </w:rPr>
        <w:t xml:space="preserve"> the list of actions for inclusive development.</w:t>
      </w:r>
    </w:p>
    <w:p w:rsidR="000B5A71" w:rsidRPr="008D3C1A" w:rsidRDefault="008B1D42" w:rsidP="00AC15A7">
      <w:pPr>
        <w:pStyle w:val="Sangra2detindependiente"/>
        <w:spacing w:line="360" w:lineRule="auto"/>
        <w:ind w:left="0" w:firstLine="708"/>
        <w:rPr>
          <w:rFonts w:ascii="Times New Roman" w:hAnsi="Times New Roman"/>
          <w:sz w:val="22"/>
          <w:szCs w:val="22"/>
          <w:lang w:val="en-GB"/>
        </w:rPr>
      </w:pPr>
      <w:r w:rsidRPr="008D3C1A">
        <w:rPr>
          <w:rFonts w:ascii="Times New Roman" w:hAnsi="Times New Roman"/>
          <w:sz w:val="22"/>
          <w:szCs w:val="22"/>
          <w:lang w:val="en-GB"/>
        </w:rPr>
        <w:t>Nonetheless</w:t>
      </w:r>
      <w:r w:rsidR="004421AF" w:rsidRPr="004421AF">
        <w:rPr>
          <w:rFonts w:ascii="Times New Roman" w:hAnsi="Times New Roman"/>
          <w:sz w:val="22"/>
          <w:szCs w:val="22"/>
          <w:lang w:val="en-GB"/>
        </w:rPr>
        <w:t>, real macroeconomics is not enough. The 1990s experience was notably successful in growth with stability</w:t>
      </w:r>
      <w:r w:rsidRPr="008D3C1A">
        <w:rPr>
          <w:rFonts w:ascii="Times New Roman" w:hAnsi="Times New Roman"/>
          <w:sz w:val="22"/>
          <w:szCs w:val="22"/>
          <w:lang w:val="en-GB"/>
        </w:rPr>
        <w:t>, although</w:t>
      </w:r>
      <w:r w:rsidR="004421AF" w:rsidRPr="004421AF">
        <w:rPr>
          <w:rFonts w:ascii="Times New Roman" w:hAnsi="Times New Roman"/>
          <w:sz w:val="22"/>
          <w:szCs w:val="22"/>
          <w:lang w:val="en-GB"/>
        </w:rPr>
        <w:t xml:space="preserve"> productive structures improved too mildly</w:t>
      </w:r>
      <w:r w:rsidRPr="008D3C1A">
        <w:rPr>
          <w:rFonts w:ascii="Times New Roman" w:hAnsi="Times New Roman"/>
          <w:sz w:val="22"/>
          <w:szCs w:val="22"/>
          <w:lang w:val="en-GB"/>
        </w:rPr>
        <w:t>,</w:t>
      </w:r>
      <w:r w:rsidR="004421AF" w:rsidRPr="004421AF">
        <w:rPr>
          <w:rFonts w:ascii="Times New Roman" w:hAnsi="Times New Roman"/>
          <w:sz w:val="22"/>
          <w:szCs w:val="22"/>
          <w:lang w:val="en-GB"/>
        </w:rPr>
        <w:t xml:space="preserve"> as well as income distribution. It implied progress toward development, </w:t>
      </w:r>
      <w:r w:rsidRPr="008D3C1A">
        <w:rPr>
          <w:rFonts w:ascii="Times New Roman" w:hAnsi="Times New Roman"/>
          <w:sz w:val="22"/>
          <w:szCs w:val="22"/>
          <w:lang w:val="en-GB"/>
        </w:rPr>
        <w:t xml:space="preserve">albeitin an </w:t>
      </w:r>
      <w:r w:rsidR="004421AF" w:rsidRPr="004421AF">
        <w:rPr>
          <w:rFonts w:ascii="Times New Roman" w:hAnsi="Times New Roman"/>
          <w:sz w:val="22"/>
          <w:szCs w:val="22"/>
          <w:lang w:val="en-GB"/>
        </w:rPr>
        <w:t>incomplete</w:t>
      </w:r>
      <w:r w:rsidRPr="008D3C1A">
        <w:rPr>
          <w:rFonts w:ascii="Times New Roman" w:hAnsi="Times New Roman"/>
          <w:sz w:val="22"/>
          <w:szCs w:val="22"/>
          <w:lang w:val="en-GB"/>
        </w:rPr>
        <w:t xml:space="preserve"> manner</w:t>
      </w:r>
      <w:r w:rsidR="004421AF" w:rsidRPr="004421AF">
        <w:rPr>
          <w:rFonts w:ascii="Times New Roman" w:hAnsi="Times New Roman"/>
          <w:sz w:val="22"/>
          <w:szCs w:val="22"/>
          <w:lang w:val="en-GB"/>
        </w:rPr>
        <w:t xml:space="preserve">. For long-term sustainability, the economic agenda requires further </w:t>
      </w:r>
      <w:r w:rsidRPr="008D3C1A">
        <w:rPr>
          <w:rFonts w:ascii="Times New Roman" w:hAnsi="Times New Roman"/>
          <w:sz w:val="22"/>
          <w:szCs w:val="22"/>
          <w:lang w:val="en-GB"/>
        </w:rPr>
        <w:t xml:space="preserve">deep </w:t>
      </w:r>
      <w:r w:rsidR="004421AF" w:rsidRPr="004421AF">
        <w:rPr>
          <w:rFonts w:ascii="Times New Roman" w:hAnsi="Times New Roman"/>
          <w:sz w:val="22"/>
          <w:szCs w:val="22"/>
          <w:lang w:val="en-GB"/>
        </w:rPr>
        <w:t>reforms to “complete” long-term innovative financing for development (with pro-SMEs and pro-employment biases), labo</w:t>
      </w:r>
      <w:r w:rsidRPr="008D3C1A">
        <w:rPr>
          <w:rFonts w:ascii="Times New Roman" w:hAnsi="Times New Roman"/>
          <w:sz w:val="22"/>
          <w:szCs w:val="22"/>
          <w:lang w:val="en-GB"/>
        </w:rPr>
        <w:t>u</w:t>
      </w:r>
      <w:r w:rsidR="004421AF" w:rsidRPr="004421AF">
        <w:rPr>
          <w:rFonts w:ascii="Times New Roman" w:hAnsi="Times New Roman"/>
          <w:sz w:val="22"/>
          <w:szCs w:val="22"/>
          <w:lang w:val="en-GB"/>
        </w:rPr>
        <w:t>r training and technological innovation, among other</w:t>
      </w:r>
      <w:r w:rsidRPr="008D3C1A">
        <w:rPr>
          <w:rFonts w:ascii="Times New Roman" w:hAnsi="Times New Roman"/>
          <w:sz w:val="22"/>
          <w:szCs w:val="22"/>
          <w:lang w:val="en-GB"/>
        </w:rPr>
        <w:t>s</w:t>
      </w:r>
      <w:r w:rsidR="004421AF" w:rsidRPr="004421AF">
        <w:rPr>
          <w:rFonts w:ascii="Times New Roman" w:hAnsi="Times New Roman"/>
          <w:sz w:val="22"/>
          <w:szCs w:val="22"/>
          <w:lang w:val="en-GB"/>
        </w:rPr>
        <w:t xml:space="preserve">. </w:t>
      </w:r>
    </w:p>
    <w:p w:rsidR="00375161" w:rsidRPr="008D3C1A" w:rsidRDefault="004421AF" w:rsidP="00AC15A7">
      <w:pPr>
        <w:pStyle w:val="Sangra2detindependiente"/>
        <w:spacing w:line="360" w:lineRule="auto"/>
        <w:ind w:left="0" w:firstLine="708"/>
        <w:rPr>
          <w:rFonts w:ascii="Times New Roman" w:hAnsi="Times New Roman"/>
          <w:sz w:val="22"/>
          <w:szCs w:val="22"/>
          <w:lang w:val="en-GB"/>
        </w:rPr>
      </w:pPr>
      <w:r w:rsidRPr="004421AF">
        <w:rPr>
          <w:rFonts w:ascii="Times New Roman" w:hAnsi="Times New Roman"/>
          <w:sz w:val="22"/>
          <w:szCs w:val="22"/>
          <w:lang w:val="en-GB"/>
        </w:rPr>
        <w:t xml:space="preserve">The strong expressions of domestic discontent present in recent years can be interpreted as a reinforced message </w:t>
      </w:r>
      <w:r w:rsidR="007E7E04" w:rsidRPr="008D3C1A">
        <w:rPr>
          <w:rFonts w:ascii="Times New Roman" w:hAnsi="Times New Roman"/>
          <w:sz w:val="22"/>
          <w:szCs w:val="22"/>
          <w:lang w:val="en-GB"/>
        </w:rPr>
        <w:t>of the</w:t>
      </w:r>
      <w:r w:rsidRPr="004421AF">
        <w:rPr>
          <w:rFonts w:ascii="Times New Roman" w:hAnsi="Times New Roman"/>
          <w:sz w:val="22"/>
          <w:szCs w:val="22"/>
          <w:lang w:val="en-GB"/>
        </w:rPr>
        <w:t xml:space="preserve"> urgent need to design and implement coherent strategies and make major inclusive reforms to productive structures and public social and economic policies. The great challenge is to move towards comprehensive development with an increasingly inclusive and more equitable productive system.</w:t>
      </w:r>
    </w:p>
    <w:p w:rsidR="004E552D" w:rsidRPr="008D3C1A" w:rsidRDefault="004E552D">
      <w:pPr>
        <w:rPr>
          <w:b/>
          <w:sz w:val="22"/>
          <w:szCs w:val="22"/>
          <w:lang w:val="en-GB"/>
        </w:rPr>
      </w:pPr>
      <w:r w:rsidRPr="008D3C1A">
        <w:rPr>
          <w:b/>
          <w:sz w:val="22"/>
          <w:szCs w:val="22"/>
          <w:lang w:val="en-GB"/>
        </w:rPr>
        <w:br w:type="page"/>
      </w:r>
    </w:p>
    <w:p w:rsidR="00520397" w:rsidRPr="008D3C1A" w:rsidRDefault="00520397" w:rsidP="00D432D4">
      <w:pPr>
        <w:spacing w:line="360" w:lineRule="auto"/>
        <w:jc w:val="center"/>
        <w:rPr>
          <w:b/>
          <w:sz w:val="22"/>
          <w:szCs w:val="22"/>
          <w:lang w:val="en-GB"/>
        </w:rPr>
      </w:pPr>
    </w:p>
    <w:p w:rsidR="00375161" w:rsidRPr="008D3C1A" w:rsidRDefault="004E552D" w:rsidP="004E552D">
      <w:pPr>
        <w:pStyle w:val="Ttulo1"/>
        <w:rPr>
          <w:sz w:val="28"/>
          <w:szCs w:val="28"/>
          <w:lang w:val="en-GB"/>
        </w:rPr>
      </w:pPr>
      <w:bookmarkStart w:id="8" w:name="_Toc401076035"/>
      <w:r w:rsidRPr="008D3C1A">
        <w:rPr>
          <w:sz w:val="28"/>
          <w:szCs w:val="28"/>
          <w:lang w:val="en-GB"/>
        </w:rPr>
        <w:t>References</w:t>
      </w:r>
      <w:bookmarkEnd w:id="8"/>
    </w:p>
    <w:p w:rsidR="00F36C74" w:rsidRPr="008D3C1A" w:rsidRDefault="004421AF" w:rsidP="00D432D4">
      <w:pPr>
        <w:spacing w:line="360" w:lineRule="auto"/>
        <w:rPr>
          <w:sz w:val="22"/>
          <w:szCs w:val="22"/>
          <w:lang w:val="en-GB"/>
        </w:rPr>
      </w:pPr>
      <w:r w:rsidRPr="004421AF">
        <w:rPr>
          <w:spacing w:val="-3"/>
          <w:sz w:val="22"/>
          <w:szCs w:val="22"/>
          <w:lang w:val="en-GB"/>
        </w:rPr>
        <w:tab/>
      </w:r>
      <w:r w:rsidRPr="004421AF">
        <w:rPr>
          <w:spacing w:val="-3"/>
          <w:sz w:val="22"/>
          <w:szCs w:val="22"/>
          <w:lang w:val="en-GB"/>
        </w:rPr>
        <w:tab/>
      </w:r>
    </w:p>
    <w:p w:rsidR="002208C0" w:rsidRPr="008D3C1A" w:rsidRDefault="00E27AE6" w:rsidP="00591271">
      <w:pPr>
        <w:tabs>
          <w:tab w:val="left" w:pos="-720"/>
        </w:tabs>
        <w:spacing w:after="120" w:line="360" w:lineRule="auto"/>
        <w:ind w:left="708" w:hanging="720"/>
        <w:rPr>
          <w:sz w:val="22"/>
          <w:szCs w:val="22"/>
          <w:lang w:val="en-GB"/>
        </w:rPr>
      </w:pPr>
      <w:r w:rsidRPr="008D3C1A">
        <w:rPr>
          <w:spacing w:val="-3"/>
          <w:sz w:val="22"/>
          <w:szCs w:val="22"/>
          <w:lang w:val="en-GB"/>
        </w:rPr>
        <w:t>Agosin M</w:t>
      </w:r>
      <w:r w:rsidR="004421AF" w:rsidRPr="004421AF">
        <w:rPr>
          <w:spacing w:val="-3"/>
          <w:sz w:val="22"/>
          <w:szCs w:val="22"/>
          <w:lang w:val="en-GB"/>
        </w:rPr>
        <w:t>R</w:t>
      </w:r>
      <w:r w:rsidR="004421AF" w:rsidRPr="004421AF">
        <w:rPr>
          <w:sz w:val="22"/>
          <w:szCs w:val="22"/>
          <w:lang w:val="en-GB"/>
        </w:rPr>
        <w:t xml:space="preserve"> (1998)</w:t>
      </w:r>
      <w:r w:rsidRPr="008D3C1A">
        <w:rPr>
          <w:sz w:val="22"/>
          <w:szCs w:val="22"/>
          <w:lang w:val="en-GB"/>
        </w:rPr>
        <w:t xml:space="preserve">. </w:t>
      </w:r>
      <w:r w:rsidR="004421AF" w:rsidRPr="004421AF">
        <w:rPr>
          <w:sz w:val="22"/>
          <w:szCs w:val="22"/>
          <w:lang w:val="en-GB"/>
        </w:rPr>
        <w:t>Capital inflows and investment perform</w:t>
      </w:r>
      <w:r w:rsidRPr="008D3C1A">
        <w:rPr>
          <w:sz w:val="22"/>
          <w:szCs w:val="22"/>
          <w:lang w:val="en-GB"/>
        </w:rPr>
        <w:t xml:space="preserve">ance: Chile in the 1990s. </w:t>
      </w:r>
      <w:r w:rsidR="00333DC7" w:rsidRPr="008D3C1A">
        <w:rPr>
          <w:sz w:val="22"/>
          <w:szCs w:val="22"/>
          <w:lang w:val="en-GB"/>
        </w:rPr>
        <w:t>In:</w:t>
      </w:r>
      <w:r w:rsidR="00333DC7" w:rsidRPr="004421AF">
        <w:rPr>
          <w:sz w:val="22"/>
          <w:szCs w:val="22"/>
          <w:lang w:val="en-GB"/>
        </w:rPr>
        <w:t xml:space="preserve"> Ffrench</w:t>
      </w:r>
      <w:r w:rsidR="004421AF" w:rsidRPr="004421AF">
        <w:rPr>
          <w:sz w:val="22"/>
          <w:szCs w:val="22"/>
          <w:lang w:val="en-GB"/>
        </w:rPr>
        <w:t>-Davis</w:t>
      </w:r>
      <w:r w:rsidR="004421AF" w:rsidRPr="004421AF">
        <w:rPr>
          <w:spacing w:val="-3"/>
          <w:sz w:val="22"/>
          <w:szCs w:val="22"/>
          <w:lang w:val="en-GB"/>
        </w:rPr>
        <w:t xml:space="preserve"> R and </w:t>
      </w:r>
      <w:r w:rsidR="004421AF" w:rsidRPr="004421AF">
        <w:rPr>
          <w:sz w:val="22"/>
          <w:szCs w:val="22"/>
          <w:lang w:val="en-GB"/>
        </w:rPr>
        <w:t>Reisen H</w:t>
      </w:r>
      <w:r w:rsidR="00CA3BC2" w:rsidRPr="008D3C1A">
        <w:rPr>
          <w:sz w:val="22"/>
          <w:szCs w:val="22"/>
          <w:lang w:val="en-GB"/>
        </w:rPr>
        <w:t>,</w:t>
      </w:r>
      <w:r w:rsidR="004421AF" w:rsidRPr="004421AF">
        <w:rPr>
          <w:sz w:val="22"/>
          <w:szCs w:val="22"/>
          <w:lang w:val="en-GB"/>
        </w:rPr>
        <w:t xml:space="preserve"> eds., </w:t>
      </w:r>
      <w:r w:rsidR="004421AF" w:rsidRPr="004421AF">
        <w:rPr>
          <w:i/>
          <w:sz w:val="22"/>
          <w:szCs w:val="22"/>
          <w:lang w:val="en-GB"/>
        </w:rPr>
        <w:t>Capital Flo</w:t>
      </w:r>
      <w:r w:rsidRPr="008D3C1A">
        <w:rPr>
          <w:i/>
          <w:sz w:val="22"/>
          <w:szCs w:val="22"/>
          <w:lang w:val="en-GB"/>
        </w:rPr>
        <w:t xml:space="preserve">ws and Investment Performance: </w:t>
      </w:r>
      <w:r w:rsidR="004421AF" w:rsidRPr="004421AF">
        <w:rPr>
          <w:i/>
          <w:sz w:val="22"/>
          <w:szCs w:val="22"/>
          <w:lang w:val="en-GB"/>
        </w:rPr>
        <w:t>Lessons from Latin America</w:t>
      </w:r>
      <w:r w:rsidR="004421AF" w:rsidRPr="004421AF">
        <w:rPr>
          <w:sz w:val="22"/>
          <w:szCs w:val="22"/>
          <w:lang w:val="en-GB"/>
        </w:rPr>
        <w:t xml:space="preserve">, </w:t>
      </w:r>
      <w:r w:rsidR="00591271" w:rsidRPr="008D3C1A">
        <w:rPr>
          <w:sz w:val="22"/>
          <w:szCs w:val="22"/>
          <w:lang w:val="en-GB"/>
        </w:rPr>
        <w:t xml:space="preserve">Paris, </w:t>
      </w:r>
      <w:r w:rsidR="004421AF" w:rsidRPr="004421AF">
        <w:rPr>
          <w:sz w:val="22"/>
          <w:szCs w:val="22"/>
          <w:lang w:val="en-GB"/>
        </w:rPr>
        <w:t>OECD Development Centre/ECLAC.</w:t>
      </w:r>
    </w:p>
    <w:p w:rsidR="002208C0" w:rsidRPr="00340036" w:rsidRDefault="004421AF" w:rsidP="00591271">
      <w:pPr>
        <w:tabs>
          <w:tab w:val="left" w:pos="-720"/>
        </w:tabs>
        <w:spacing w:after="120" w:line="360" w:lineRule="auto"/>
        <w:ind w:hanging="720"/>
        <w:rPr>
          <w:spacing w:val="-3"/>
          <w:sz w:val="22"/>
          <w:szCs w:val="22"/>
          <w:lang w:val="es-CL"/>
        </w:rPr>
      </w:pPr>
      <w:r w:rsidRPr="004421AF">
        <w:rPr>
          <w:sz w:val="22"/>
          <w:szCs w:val="22"/>
          <w:lang w:val="es-CL"/>
        </w:rPr>
        <w:t xml:space="preserve">Banco Central, </w:t>
      </w:r>
      <w:r w:rsidRPr="004421AF">
        <w:rPr>
          <w:i/>
          <w:sz w:val="22"/>
          <w:szCs w:val="22"/>
          <w:lang w:val="es-CL"/>
        </w:rPr>
        <w:t>Informe de Política Monetaria,</w:t>
      </w:r>
      <w:r w:rsidRPr="004421AF">
        <w:rPr>
          <w:sz w:val="22"/>
          <w:szCs w:val="22"/>
          <w:lang w:val="es-CL"/>
        </w:rPr>
        <w:t xml:space="preserve"> IPOM, several</w:t>
      </w:r>
      <w:r w:rsidR="00610291">
        <w:rPr>
          <w:sz w:val="22"/>
          <w:szCs w:val="22"/>
          <w:lang w:val="es-CL"/>
        </w:rPr>
        <w:t xml:space="preserve"> </w:t>
      </w:r>
      <w:r w:rsidRPr="004421AF">
        <w:rPr>
          <w:sz w:val="22"/>
          <w:szCs w:val="22"/>
          <w:lang w:val="es-CL"/>
        </w:rPr>
        <w:t>issues.</w:t>
      </w:r>
    </w:p>
    <w:p w:rsidR="002208C0" w:rsidRPr="008D3C1A" w:rsidRDefault="00591271" w:rsidP="00591271">
      <w:pPr>
        <w:tabs>
          <w:tab w:val="left" w:pos="-720"/>
        </w:tabs>
        <w:spacing w:after="120" w:line="360" w:lineRule="auto"/>
        <w:ind w:left="708" w:hanging="720"/>
        <w:rPr>
          <w:sz w:val="22"/>
          <w:szCs w:val="22"/>
          <w:lang w:val="en-GB"/>
        </w:rPr>
      </w:pPr>
      <w:r w:rsidRPr="008D3C1A">
        <w:rPr>
          <w:sz w:val="22"/>
          <w:szCs w:val="22"/>
          <w:lang w:val="en-GB"/>
        </w:rPr>
        <w:t>Calvo G</w:t>
      </w:r>
      <w:r w:rsidR="004421AF" w:rsidRPr="004421AF">
        <w:rPr>
          <w:sz w:val="22"/>
          <w:szCs w:val="22"/>
          <w:lang w:val="en-GB"/>
        </w:rPr>
        <w:t>, Leiderman</w:t>
      </w:r>
      <w:r w:rsidR="00610291">
        <w:rPr>
          <w:sz w:val="22"/>
          <w:szCs w:val="22"/>
          <w:lang w:val="en-GB"/>
        </w:rPr>
        <w:t xml:space="preserve"> </w:t>
      </w:r>
      <w:r w:rsidRPr="008D3C1A">
        <w:rPr>
          <w:sz w:val="22"/>
          <w:szCs w:val="22"/>
          <w:lang w:val="en-GB"/>
        </w:rPr>
        <w:t xml:space="preserve">E </w:t>
      </w:r>
      <w:r w:rsidR="004421AF" w:rsidRPr="004421AF">
        <w:rPr>
          <w:sz w:val="22"/>
          <w:szCs w:val="22"/>
          <w:lang w:val="en-GB"/>
        </w:rPr>
        <w:t>and Reinhart</w:t>
      </w:r>
      <w:r w:rsidRPr="008D3C1A">
        <w:rPr>
          <w:sz w:val="22"/>
          <w:szCs w:val="22"/>
          <w:lang w:val="en-GB"/>
        </w:rPr>
        <w:t xml:space="preserve"> C (1993).</w:t>
      </w:r>
      <w:r w:rsidR="004421AF" w:rsidRPr="004421AF">
        <w:rPr>
          <w:sz w:val="22"/>
          <w:szCs w:val="22"/>
          <w:lang w:val="en-GB"/>
        </w:rPr>
        <w:t xml:space="preserve"> Capital</w:t>
      </w:r>
      <w:r w:rsidRPr="008D3C1A">
        <w:rPr>
          <w:sz w:val="22"/>
          <w:szCs w:val="22"/>
          <w:lang w:val="en-GB"/>
        </w:rPr>
        <w:t xml:space="preserve"> inflows and real exchange rate </w:t>
      </w:r>
      <w:r w:rsidR="004421AF" w:rsidRPr="004421AF">
        <w:rPr>
          <w:sz w:val="22"/>
          <w:szCs w:val="22"/>
          <w:lang w:val="en-GB"/>
        </w:rPr>
        <w:t>appreciation in Latin Americ</w:t>
      </w:r>
      <w:r w:rsidRPr="008D3C1A">
        <w:rPr>
          <w:sz w:val="22"/>
          <w:szCs w:val="22"/>
          <w:lang w:val="en-GB"/>
        </w:rPr>
        <w:t>a: The role of external factors.</w:t>
      </w:r>
      <w:r w:rsidR="004421AF" w:rsidRPr="004421AF">
        <w:rPr>
          <w:i/>
          <w:sz w:val="22"/>
          <w:szCs w:val="22"/>
          <w:lang w:val="en-GB"/>
        </w:rPr>
        <w:t>IMF Staff Papers</w:t>
      </w:r>
      <w:r w:rsidR="004421AF" w:rsidRPr="004421AF">
        <w:rPr>
          <w:sz w:val="22"/>
          <w:szCs w:val="22"/>
          <w:lang w:val="en-GB"/>
        </w:rPr>
        <w:t xml:space="preserve">, </w:t>
      </w:r>
      <w:r w:rsidRPr="008D3C1A">
        <w:rPr>
          <w:sz w:val="22"/>
          <w:szCs w:val="22"/>
          <w:lang w:val="en-GB"/>
        </w:rPr>
        <w:t>40(1)</w:t>
      </w:r>
      <w:r w:rsidR="004421AF" w:rsidRPr="004421AF">
        <w:rPr>
          <w:sz w:val="22"/>
          <w:szCs w:val="22"/>
          <w:lang w:val="en-GB"/>
        </w:rPr>
        <w:t>.</w:t>
      </w:r>
    </w:p>
    <w:p w:rsidR="00F36C74" w:rsidRPr="008D3C1A" w:rsidRDefault="00591271" w:rsidP="002208C0">
      <w:pPr>
        <w:tabs>
          <w:tab w:val="left" w:pos="-720"/>
        </w:tabs>
        <w:spacing w:line="360" w:lineRule="auto"/>
        <w:ind w:hanging="720"/>
        <w:rPr>
          <w:i/>
          <w:sz w:val="22"/>
          <w:szCs w:val="22"/>
          <w:lang w:val="en-GB"/>
        </w:rPr>
      </w:pPr>
      <w:r w:rsidRPr="008D3C1A">
        <w:rPr>
          <w:sz w:val="22"/>
          <w:szCs w:val="22"/>
          <w:lang w:val="en-GB"/>
        </w:rPr>
        <w:tab/>
        <w:t>Edwards S and Cox-Edwards A (1991).</w:t>
      </w:r>
      <w:r w:rsidR="004421AF" w:rsidRPr="004421AF">
        <w:rPr>
          <w:i/>
          <w:sz w:val="22"/>
          <w:szCs w:val="22"/>
          <w:lang w:val="en-GB"/>
        </w:rPr>
        <w:t>Monetarism and Liberali</w:t>
      </w:r>
      <w:r w:rsidR="00EA5066" w:rsidRPr="008D3C1A">
        <w:rPr>
          <w:i/>
          <w:sz w:val="22"/>
          <w:szCs w:val="22"/>
          <w:lang w:val="en-GB"/>
        </w:rPr>
        <w:t>sation</w:t>
      </w:r>
      <w:r w:rsidR="004421AF" w:rsidRPr="004421AF">
        <w:rPr>
          <w:i/>
          <w:sz w:val="22"/>
          <w:szCs w:val="22"/>
          <w:lang w:val="en-GB"/>
        </w:rPr>
        <w:t xml:space="preserve">: The Chilean </w:t>
      </w:r>
    </w:p>
    <w:p w:rsidR="00591271" w:rsidRPr="00610291" w:rsidRDefault="002208C0" w:rsidP="00591271">
      <w:pPr>
        <w:tabs>
          <w:tab w:val="left" w:pos="-720"/>
        </w:tabs>
        <w:spacing w:after="120" w:line="360" w:lineRule="auto"/>
        <w:ind w:hanging="720"/>
        <w:rPr>
          <w:sz w:val="22"/>
          <w:szCs w:val="22"/>
          <w:lang w:val="es-CL"/>
        </w:rPr>
      </w:pPr>
      <w:r w:rsidRPr="008D3C1A">
        <w:rPr>
          <w:i/>
          <w:sz w:val="22"/>
          <w:szCs w:val="22"/>
          <w:lang w:val="en-GB"/>
        </w:rPr>
        <w:tab/>
      </w:r>
      <w:r w:rsidR="00591271" w:rsidRPr="008D3C1A">
        <w:rPr>
          <w:i/>
          <w:sz w:val="22"/>
          <w:szCs w:val="22"/>
          <w:lang w:val="en-GB"/>
        </w:rPr>
        <w:tab/>
      </w:r>
      <w:r w:rsidR="004421AF" w:rsidRPr="00610291">
        <w:rPr>
          <w:i/>
          <w:sz w:val="22"/>
          <w:szCs w:val="22"/>
          <w:lang w:val="es-CL"/>
        </w:rPr>
        <w:t>Experiment</w:t>
      </w:r>
      <w:r w:rsidR="004421AF" w:rsidRPr="00610291">
        <w:rPr>
          <w:sz w:val="22"/>
          <w:szCs w:val="22"/>
          <w:lang w:val="es-CL"/>
        </w:rPr>
        <w:t xml:space="preserve">, </w:t>
      </w:r>
      <w:r w:rsidR="00591271" w:rsidRPr="00610291">
        <w:rPr>
          <w:sz w:val="22"/>
          <w:szCs w:val="22"/>
          <w:lang w:val="es-CL"/>
        </w:rPr>
        <w:t xml:space="preserve">Cambridge, </w:t>
      </w:r>
      <w:r w:rsidR="004421AF" w:rsidRPr="00610291">
        <w:rPr>
          <w:sz w:val="22"/>
          <w:szCs w:val="22"/>
          <w:lang w:val="es-CL"/>
        </w:rPr>
        <w:t>Ballinger.</w:t>
      </w:r>
    </w:p>
    <w:p w:rsidR="00591271" w:rsidRPr="00340036" w:rsidRDefault="00591271" w:rsidP="00591271">
      <w:pPr>
        <w:tabs>
          <w:tab w:val="left" w:pos="-720"/>
        </w:tabs>
        <w:spacing w:after="120" w:line="360" w:lineRule="auto"/>
        <w:ind w:left="708" w:hanging="720"/>
        <w:rPr>
          <w:sz w:val="22"/>
          <w:szCs w:val="22"/>
          <w:lang w:val="es-CL"/>
        </w:rPr>
      </w:pPr>
      <w:r w:rsidRPr="00610291">
        <w:rPr>
          <w:sz w:val="22"/>
          <w:szCs w:val="22"/>
          <w:lang w:val="es-CL"/>
        </w:rPr>
        <w:t>Ffrench-Davis R (2014).</w:t>
      </w:r>
      <w:r w:rsidR="004421AF" w:rsidRPr="004421AF">
        <w:rPr>
          <w:i/>
          <w:sz w:val="22"/>
          <w:szCs w:val="22"/>
          <w:lang w:val="es-CL"/>
        </w:rPr>
        <w:t>Chile entre el neoliberalismo y el crecimiento con equidad: 40 años de políticas económicas y sus lecciones (Quinta edición)</w:t>
      </w:r>
      <w:r w:rsidR="004421AF" w:rsidRPr="004421AF">
        <w:rPr>
          <w:sz w:val="22"/>
          <w:szCs w:val="22"/>
          <w:lang w:val="es-CL"/>
        </w:rPr>
        <w:t>, Santiago, JCSáez Editor.</w:t>
      </w:r>
    </w:p>
    <w:p w:rsidR="00591271" w:rsidRPr="008D3C1A" w:rsidRDefault="00591271" w:rsidP="00591271">
      <w:pPr>
        <w:tabs>
          <w:tab w:val="left" w:pos="-720"/>
        </w:tabs>
        <w:spacing w:after="120" w:line="360" w:lineRule="auto"/>
        <w:ind w:left="708" w:hanging="720"/>
        <w:rPr>
          <w:sz w:val="22"/>
          <w:szCs w:val="22"/>
          <w:lang w:val="en-GB"/>
        </w:rPr>
      </w:pPr>
      <w:r w:rsidRPr="008D3C1A">
        <w:rPr>
          <w:sz w:val="22"/>
          <w:szCs w:val="22"/>
          <w:lang w:val="en-GB"/>
        </w:rPr>
        <w:t>Ffrench-Davis R (2010).</w:t>
      </w:r>
      <w:r w:rsidR="004421AF" w:rsidRPr="004421AF">
        <w:rPr>
          <w:i/>
          <w:sz w:val="22"/>
          <w:szCs w:val="22"/>
          <w:lang w:val="en-GB"/>
        </w:rPr>
        <w:t>Economic Reforms in Chile: From Dictatorship to Democracy</w:t>
      </w:r>
      <w:r w:rsidRPr="008D3C1A">
        <w:rPr>
          <w:i/>
          <w:sz w:val="22"/>
          <w:szCs w:val="22"/>
          <w:lang w:val="en-GB"/>
        </w:rPr>
        <w:t xml:space="preserve"> (Second Edition)</w:t>
      </w:r>
      <w:r w:rsidR="004421AF" w:rsidRPr="004421AF">
        <w:rPr>
          <w:i/>
          <w:sz w:val="22"/>
          <w:szCs w:val="22"/>
          <w:lang w:val="en-GB"/>
        </w:rPr>
        <w:t xml:space="preserve">, </w:t>
      </w:r>
      <w:r w:rsidR="004421AF" w:rsidRPr="004421AF">
        <w:rPr>
          <w:sz w:val="22"/>
          <w:szCs w:val="22"/>
          <w:lang w:val="en-GB"/>
        </w:rPr>
        <w:t>London and New York</w:t>
      </w:r>
      <w:r w:rsidRPr="008D3C1A">
        <w:rPr>
          <w:sz w:val="22"/>
          <w:szCs w:val="22"/>
          <w:lang w:val="en-GB"/>
        </w:rPr>
        <w:t xml:space="preserve">, </w:t>
      </w:r>
      <w:r w:rsidR="004421AF" w:rsidRPr="004421AF">
        <w:rPr>
          <w:sz w:val="22"/>
          <w:szCs w:val="22"/>
          <w:lang w:val="en-GB"/>
        </w:rPr>
        <w:t>PalgraveMacmillan.</w:t>
      </w:r>
    </w:p>
    <w:p w:rsidR="00591271" w:rsidRPr="008D3C1A" w:rsidRDefault="00591271" w:rsidP="00591271">
      <w:pPr>
        <w:tabs>
          <w:tab w:val="left" w:pos="-720"/>
        </w:tabs>
        <w:spacing w:after="120" w:line="360" w:lineRule="auto"/>
        <w:ind w:left="708" w:hanging="720"/>
        <w:rPr>
          <w:sz w:val="22"/>
          <w:szCs w:val="22"/>
          <w:lang w:val="en-GB"/>
        </w:rPr>
      </w:pPr>
      <w:r w:rsidRPr="008D3C1A">
        <w:rPr>
          <w:sz w:val="22"/>
          <w:szCs w:val="22"/>
          <w:lang w:val="en-GB"/>
        </w:rPr>
        <w:t>Ffrench-Davis R (2006).</w:t>
      </w:r>
      <w:r w:rsidR="004421AF" w:rsidRPr="004421AF">
        <w:rPr>
          <w:i/>
          <w:spacing w:val="-3"/>
          <w:sz w:val="22"/>
          <w:szCs w:val="22"/>
          <w:lang w:val="en-GB"/>
        </w:rPr>
        <w:t>Reforms for Latin America´s Economies: After Market Fundamentalism,</w:t>
      </w:r>
      <w:r w:rsidR="004421AF" w:rsidRPr="004421AF">
        <w:rPr>
          <w:spacing w:val="-3"/>
          <w:sz w:val="22"/>
          <w:szCs w:val="22"/>
          <w:lang w:val="en-GB"/>
        </w:rPr>
        <w:t xml:space="preserve"> London and New York</w:t>
      </w:r>
      <w:r w:rsidRPr="008D3C1A">
        <w:rPr>
          <w:spacing w:val="-3"/>
          <w:sz w:val="22"/>
          <w:szCs w:val="22"/>
          <w:lang w:val="en-GB"/>
        </w:rPr>
        <w:t xml:space="preserve">, </w:t>
      </w:r>
      <w:r w:rsidR="004421AF" w:rsidRPr="004421AF">
        <w:rPr>
          <w:spacing w:val="-3"/>
          <w:sz w:val="22"/>
          <w:szCs w:val="22"/>
          <w:lang w:val="en-GB"/>
        </w:rPr>
        <w:t>PalgraveMacmillan.</w:t>
      </w:r>
    </w:p>
    <w:p w:rsidR="00591271" w:rsidRPr="008D3C1A" w:rsidRDefault="00591271" w:rsidP="00591271">
      <w:pPr>
        <w:tabs>
          <w:tab w:val="left" w:pos="-720"/>
        </w:tabs>
        <w:spacing w:after="120" w:line="360" w:lineRule="auto"/>
        <w:ind w:left="708" w:hanging="720"/>
        <w:rPr>
          <w:spacing w:val="-3"/>
          <w:sz w:val="22"/>
          <w:szCs w:val="22"/>
          <w:lang w:val="en-GB"/>
        </w:rPr>
      </w:pPr>
      <w:r w:rsidRPr="008D3C1A">
        <w:rPr>
          <w:sz w:val="22"/>
          <w:szCs w:val="22"/>
          <w:lang w:val="en-GB"/>
        </w:rPr>
        <w:t xml:space="preserve">Ffrench-Davis R </w:t>
      </w:r>
      <w:r w:rsidRPr="008D3C1A">
        <w:rPr>
          <w:rFonts w:eastAsia="Times New Roman"/>
          <w:sz w:val="22"/>
          <w:szCs w:val="22"/>
          <w:lang w:val="en-GB"/>
        </w:rPr>
        <w:t>and Tapia H (2001).</w:t>
      </w:r>
      <w:r w:rsidR="004421AF" w:rsidRPr="004421AF">
        <w:rPr>
          <w:rFonts w:eastAsia="Times New Roman"/>
          <w:sz w:val="22"/>
          <w:szCs w:val="22"/>
          <w:lang w:val="en-GB"/>
        </w:rPr>
        <w:t>Three varieties of cap</w:t>
      </w:r>
      <w:r w:rsidRPr="008D3C1A">
        <w:rPr>
          <w:rFonts w:eastAsia="Times New Roman"/>
          <w:sz w:val="22"/>
          <w:szCs w:val="22"/>
          <w:lang w:val="en-GB"/>
        </w:rPr>
        <w:t xml:space="preserve">ital surge management in Chile.In: </w:t>
      </w:r>
      <w:r w:rsidR="004421AF" w:rsidRPr="004421AF">
        <w:rPr>
          <w:rFonts w:eastAsia="Times New Roman"/>
          <w:sz w:val="22"/>
          <w:szCs w:val="22"/>
          <w:lang w:val="en-GB"/>
        </w:rPr>
        <w:t>Ffrench-Davis</w:t>
      </w:r>
      <w:r w:rsidR="00CA3BC2" w:rsidRPr="008D3C1A">
        <w:rPr>
          <w:rFonts w:eastAsia="Times New Roman"/>
          <w:sz w:val="22"/>
          <w:szCs w:val="22"/>
          <w:lang w:val="en-GB"/>
        </w:rPr>
        <w:t xml:space="preserve"> R</w:t>
      </w:r>
      <w:r w:rsidRPr="008D3C1A">
        <w:rPr>
          <w:rFonts w:eastAsia="Times New Roman"/>
          <w:sz w:val="22"/>
          <w:szCs w:val="22"/>
          <w:lang w:val="en-GB"/>
        </w:rPr>
        <w:t>, ed.</w:t>
      </w:r>
      <w:r w:rsidR="004421AF" w:rsidRPr="004421AF">
        <w:rPr>
          <w:rFonts w:eastAsia="Times New Roman"/>
          <w:sz w:val="22"/>
          <w:szCs w:val="22"/>
          <w:lang w:val="en-GB"/>
        </w:rPr>
        <w:t xml:space="preserve">, </w:t>
      </w:r>
      <w:r w:rsidR="004421AF" w:rsidRPr="004421AF">
        <w:rPr>
          <w:rFonts w:eastAsia="Times New Roman"/>
          <w:i/>
          <w:sz w:val="22"/>
          <w:szCs w:val="22"/>
          <w:lang w:val="en-GB"/>
        </w:rPr>
        <w:t xml:space="preserve">Financial Crises in Successful Emerging Economies, </w:t>
      </w:r>
      <w:r w:rsidR="004421AF" w:rsidRPr="004421AF">
        <w:rPr>
          <w:rFonts w:eastAsia="Times New Roman"/>
          <w:sz w:val="22"/>
          <w:szCs w:val="22"/>
          <w:lang w:val="en-GB"/>
        </w:rPr>
        <w:t>Washington, DC</w:t>
      </w:r>
      <w:r w:rsidR="00333DC7">
        <w:rPr>
          <w:rFonts w:eastAsia="Times New Roman"/>
          <w:sz w:val="22"/>
          <w:szCs w:val="22"/>
          <w:lang w:val="en-GB"/>
        </w:rPr>
        <w:t>,</w:t>
      </w:r>
      <w:r w:rsidR="00333DC7" w:rsidRPr="008D3C1A">
        <w:rPr>
          <w:rFonts w:eastAsia="Times New Roman"/>
          <w:sz w:val="22"/>
          <w:szCs w:val="22"/>
          <w:lang w:val="en-GB"/>
        </w:rPr>
        <w:t xml:space="preserve"> Brookings</w:t>
      </w:r>
      <w:r w:rsidRPr="008D3C1A">
        <w:rPr>
          <w:rFonts w:eastAsia="Times New Roman"/>
          <w:sz w:val="22"/>
          <w:szCs w:val="22"/>
          <w:lang w:val="en-GB"/>
        </w:rPr>
        <w:t xml:space="preserve"> Institution</w:t>
      </w:r>
      <w:r w:rsidR="004421AF" w:rsidRPr="004421AF">
        <w:rPr>
          <w:rFonts w:eastAsia="Times New Roman"/>
          <w:sz w:val="22"/>
          <w:szCs w:val="22"/>
          <w:lang w:val="en-GB"/>
        </w:rPr>
        <w:t>.</w:t>
      </w:r>
      <w:r w:rsidR="004421AF" w:rsidRPr="004421AF">
        <w:rPr>
          <w:spacing w:val="-3"/>
          <w:sz w:val="22"/>
          <w:szCs w:val="22"/>
          <w:lang w:val="en-GB"/>
        </w:rPr>
        <w:tab/>
      </w:r>
    </w:p>
    <w:p w:rsidR="00591271" w:rsidRPr="008D3C1A" w:rsidRDefault="00591271" w:rsidP="00591271">
      <w:pPr>
        <w:tabs>
          <w:tab w:val="left" w:pos="-720"/>
        </w:tabs>
        <w:spacing w:after="120" w:line="360" w:lineRule="auto"/>
        <w:ind w:left="708" w:hanging="720"/>
        <w:rPr>
          <w:sz w:val="22"/>
          <w:szCs w:val="22"/>
          <w:lang w:val="en-GB"/>
        </w:rPr>
      </w:pPr>
      <w:r w:rsidRPr="008D3C1A">
        <w:rPr>
          <w:spacing w:val="-3"/>
          <w:sz w:val="22"/>
          <w:szCs w:val="22"/>
          <w:lang w:val="en-GB"/>
        </w:rPr>
        <w:t>Foxley A (1983).</w:t>
      </w:r>
      <w:r w:rsidR="004421AF" w:rsidRPr="004421AF">
        <w:rPr>
          <w:i/>
          <w:spacing w:val="-3"/>
          <w:sz w:val="22"/>
          <w:szCs w:val="22"/>
          <w:lang w:val="en-GB"/>
        </w:rPr>
        <w:t xml:space="preserve">Latin American Experiments in Neoconservative Economics, </w:t>
      </w:r>
      <w:r w:rsidR="004421AF" w:rsidRPr="004421AF">
        <w:rPr>
          <w:spacing w:val="-3"/>
          <w:sz w:val="22"/>
          <w:szCs w:val="22"/>
          <w:lang w:val="en-GB"/>
        </w:rPr>
        <w:t>Berkeley</w:t>
      </w:r>
      <w:r w:rsidRPr="008D3C1A">
        <w:rPr>
          <w:spacing w:val="-3"/>
          <w:sz w:val="22"/>
          <w:szCs w:val="22"/>
          <w:lang w:val="en-GB"/>
        </w:rPr>
        <w:t xml:space="preserve">, </w:t>
      </w:r>
      <w:r w:rsidR="004421AF" w:rsidRPr="004421AF">
        <w:rPr>
          <w:spacing w:val="-3"/>
          <w:sz w:val="22"/>
          <w:szCs w:val="22"/>
          <w:lang w:val="en-GB"/>
        </w:rPr>
        <w:t>University of</w:t>
      </w:r>
      <w:r w:rsidRPr="008D3C1A">
        <w:rPr>
          <w:spacing w:val="-3"/>
          <w:sz w:val="22"/>
          <w:szCs w:val="22"/>
          <w:lang w:val="en-GB"/>
        </w:rPr>
        <w:t xml:space="preserve"> California Press</w:t>
      </w:r>
      <w:r w:rsidR="004421AF" w:rsidRPr="004421AF">
        <w:rPr>
          <w:spacing w:val="-3"/>
          <w:sz w:val="22"/>
          <w:szCs w:val="22"/>
          <w:lang w:val="en-GB"/>
        </w:rPr>
        <w:t>.</w:t>
      </w:r>
      <w:r w:rsidR="004421AF" w:rsidRPr="004421AF">
        <w:rPr>
          <w:sz w:val="22"/>
          <w:szCs w:val="22"/>
          <w:lang w:val="en-GB"/>
        </w:rPr>
        <w:tab/>
      </w:r>
    </w:p>
    <w:p w:rsidR="002208C0" w:rsidRPr="00340036" w:rsidRDefault="004421AF" w:rsidP="00591271">
      <w:pPr>
        <w:tabs>
          <w:tab w:val="left" w:pos="-720"/>
        </w:tabs>
        <w:spacing w:after="120" w:line="360" w:lineRule="auto"/>
        <w:ind w:left="708" w:hanging="720"/>
        <w:rPr>
          <w:spacing w:val="-3"/>
          <w:sz w:val="22"/>
          <w:szCs w:val="22"/>
          <w:lang w:val="es-CL"/>
        </w:rPr>
      </w:pPr>
      <w:r w:rsidRPr="004421AF">
        <w:rPr>
          <w:sz w:val="22"/>
          <w:szCs w:val="22"/>
          <w:lang w:val="es-CL"/>
        </w:rPr>
        <w:t>Larraín F and Vergara R (2000)</w:t>
      </w:r>
      <w:r w:rsidRPr="004421AF">
        <w:rPr>
          <w:spacing w:val="-3"/>
          <w:sz w:val="22"/>
          <w:szCs w:val="22"/>
          <w:lang w:val="es-CL"/>
        </w:rPr>
        <w:t xml:space="preserve">. </w:t>
      </w:r>
      <w:r w:rsidRPr="004421AF">
        <w:rPr>
          <w:i/>
          <w:spacing w:val="-3"/>
          <w:sz w:val="22"/>
          <w:szCs w:val="22"/>
          <w:lang w:val="es-CL"/>
        </w:rPr>
        <w:t xml:space="preserve">La transformación económica de Chile, </w:t>
      </w:r>
      <w:r w:rsidRPr="004421AF">
        <w:rPr>
          <w:spacing w:val="-3"/>
          <w:sz w:val="22"/>
          <w:szCs w:val="22"/>
          <w:lang w:val="es-CL"/>
        </w:rPr>
        <w:t>Santiago, Centro de Estudios Públicos.</w:t>
      </w:r>
    </w:p>
    <w:p w:rsidR="00F36C74" w:rsidRPr="00340036" w:rsidRDefault="004421AF" w:rsidP="002208C0">
      <w:pPr>
        <w:tabs>
          <w:tab w:val="left" w:pos="-720"/>
        </w:tabs>
        <w:spacing w:line="360" w:lineRule="auto"/>
        <w:ind w:hanging="720"/>
        <w:rPr>
          <w:spacing w:val="-3"/>
          <w:sz w:val="22"/>
          <w:szCs w:val="22"/>
          <w:lang w:val="es-CL"/>
        </w:rPr>
      </w:pPr>
      <w:r w:rsidRPr="004421AF">
        <w:rPr>
          <w:spacing w:val="-3"/>
          <w:sz w:val="22"/>
          <w:szCs w:val="22"/>
          <w:lang w:val="es-CL"/>
        </w:rPr>
        <w:tab/>
      </w:r>
      <w:r w:rsidR="00591271" w:rsidRPr="008D3C1A">
        <w:rPr>
          <w:spacing w:val="-3"/>
          <w:sz w:val="22"/>
          <w:szCs w:val="22"/>
          <w:lang w:val="en-GB"/>
        </w:rPr>
        <w:t xml:space="preserve">Le Fort G and  Lehmann S (2003). </w:t>
      </w:r>
      <w:r w:rsidRPr="004421AF">
        <w:rPr>
          <w:spacing w:val="-3"/>
          <w:sz w:val="22"/>
          <w:szCs w:val="22"/>
          <w:lang w:val="es-CL"/>
        </w:rPr>
        <w:t xml:space="preserve">El encaje y la entrada neta de capitales: Chile en el decenio de </w:t>
      </w:r>
    </w:p>
    <w:p w:rsidR="00F36C74" w:rsidRPr="008D3C1A" w:rsidRDefault="004421AF" w:rsidP="00591271">
      <w:pPr>
        <w:tabs>
          <w:tab w:val="left" w:pos="-720"/>
        </w:tabs>
        <w:spacing w:after="120" w:line="360" w:lineRule="auto"/>
        <w:ind w:hanging="720"/>
        <w:rPr>
          <w:sz w:val="22"/>
          <w:szCs w:val="22"/>
          <w:lang w:val="en-GB"/>
        </w:rPr>
      </w:pPr>
      <w:r w:rsidRPr="004421AF">
        <w:rPr>
          <w:spacing w:val="-3"/>
          <w:sz w:val="22"/>
          <w:szCs w:val="22"/>
          <w:lang w:val="es-CL"/>
        </w:rPr>
        <w:tab/>
      </w:r>
      <w:r w:rsidRPr="004421AF">
        <w:rPr>
          <w:spacing w:val="-3"/>
          <w:sz w:val="22"/>
          <w:szCs w:val="22"/>
          <w:lang w:val="es-CL"/>
        </w:rPr>
        <w:tab/>
      </w:r>
      <w:r w:rsidRPr="004421AF">
        <w:rPr>
          <w:spacing w:val="-3"/>
          <w:sz w:val="22"/>
          <w:szCs w:val="22"/>
          <w:lang w:val="en-GB"/>
        </w:rPr>
        <w:t>1990</w:t>
      </w:r>
      <w:r w:rsidR="00591271" w:rsidRPr="008D3C1A">
        <w:rPr>
          <w:spacing w:val="-3"/>
          <w:sz w:val="22"/>
          <w:szCs w:val="22"/>
          <w:lang w:val="en-GB"/>
        </w:rPr>
        <w:t>.</w:t>
      </w:r>
      <w:r w:rsidRPr="004421AF">
        <w:rPr>
          <w:i/>
          <w:spacing w:val="-3"/>
          <w:sz w:val="22"/>
          <w:szCs w:val="22"/>
          <w:lang w:val="en-GB"/>
        </w:rPr>
        <w:t xml:space="preserve"> CEPAL Review</w:t>
      </w:r>
      <w:r w:rsidR="00591271" w:rsidRPr="008D3C1A">
        <w:rPr>
          <w:spacing w:val="-3"/>
          <w:sz w:val="22"/>
          <w:szCs w:val="22"/>
          <w:lang w:val="en-GB"/>
        </w:rPr>
        <w:t>, 81</w:t>
      </w:r>
      <w:r w:rsidRPr="004421AF">
        <w:rPr>
          <w:spacing w:val="-3"/>
          <w:sz w:val="22"/>
          <w:szCs w:val="22"/>
          <w:lang w:val="en-GB"/>
        </w:rPr>
        <w:t xml:space="preserve">. </w:t>
      </w:r>
    </w:p>
    <w:p w:rsidR="00F36C74" w:rsidRPr="00340036" w:rsidRDefault="004421AF" w:rsidP="002208C0">
      <w:pPr>
        <w:tabs>
          <w:tab w:val="left" w:pos="-720"/>
        </w:tabs>
        <w:suppressAutoHyphens/>
        <w:spacing w:line="360" w:lineRule="auto"/>
        <w:ind w:hanging="720"/>
        <w:rPr>
          <w:sz w:val="22"/>
          <w:szCs w:val="22"/>
          <w:lang w:val="es-CL"/>
        </w:rPr>
      </w:pPr>
      <w:r w:rsidRPr="004421AF">
        <w:rPr>
          <w:sz w:val="22"/>
          <w:szCs w:val="22"/>
          <w:lang w:val="en-GB"/>
        </w:rPr>
        <w:tab/>
      </w:r>
      <w:r w:rsidRPr="004421AF">
        <w:rPr>
          <w:sz w:val="22"/>
          <w:szCs w:val="22"/>
          <w:lang w:val="es-CL"/>
        </w:rPr>
        <w:t xml:space="preserve">Marfán M (2005). La eficacia de la política fiscal y los déficit privados: un enfoque </w:t>
      </w:r>
    </w:p>
    <w:p w:rsidR="002208C0" w:rsidRPr="00340036" w:rsidRDefault="004421AF" w:rsidP="00CA3BC2">
      <w:pPr>
        <w:tabs>
          <w:tab w:val="left" w:pos="-720"/>
        </w:tabs>
        <w:spacing w:after="120" w:line="360" w:lineRule="auto"/>
        <w:ind w:left="708" w:hanging="720"/>
        <w:rPr>
          <w:spacing w:val="-3"/>
          <w:sz w:val="22"/>
          <w:szCs w:val="22"/>
          <w:lang w:val="es-CL"/>
        </w:rPr>
      </w:pPr>
      <w:r w:rsidRPr="004421AF">
        <w:rPr>
          <w:sz w:val="22"/>
          <w:szCs w:val="22"/>
          <w:lang w:val="es-CL"/>
        </w:rPr>
        <w:tab/>
        <w:t xml:space="preserve">Macroeconómico. In: Ocampo JA, ed., </w:t>
      </w:r>
      <w:r w:rsidRPr="004421AF">
        <w:rPr>
          <w:i/>
          <w:sz w:val="22"/>
          <w:szCs w:val="22"/>
          <w:lang w:val="es-CL"/>
        </w:rPr>
        <w:t>Más allá de las reformas: dinámica estructural y vulnerabilidad macroeconómica</w:t>
      </w:r>
      <w:r w:rsidRPr="004421AF">
        <w:rPr>
          <w:color w:val="000000"/>
          <w:sz w:val="22"/>
          <w:szCs w:val="22"/>
          <w:lang w:val="es-CL"/>
        </w:rPr>
        <w:t>, Bogotá, CEPAL/Alfaomega.</w:t>
      </w:r>
    </w:p>
    <w:p w:rsidR="00F36C74" w:rsidRPr="00610291" w:rsidRDefault="004421AF" w:rsidP="002208C0">
      <w:pPr>
        <w:tabs>
          <w:tab w:val="left" w:pos="-720"/>
        </w:tabs>
        <w:spacing w:line="360" w:lineRule="auto"/>
        <w:ind w:hanging="720"/>
        <w:rPr>
          <w:i/>
          <w:spacing w:val="-3"/>
          <w:sz w:val="22"/>
          <w:szCs w:val="22"/>
          <w:lang w:val="en-US"/>
        </w:rPr>
      </w:pPr>
      <w:r w:rsidRPr="004421AF">
        <w:rPr>
          <w:sz w:val="22"/>
          <w:szCs w:val="22"/>
          <w:lang w:val="es-CL"/>
        </w:rPr>
        <w:tab/>
      </w:r>
      <w:r w:rsidR="00CA3BC2" w:rsidRPr="008D3C1A">
        <w:rPr>
          <w:spacing w:val="-3"/>
          <w:sz w:val="22"/>
          <w:szCs w:val="22"/>
          <w:lang w:val="en-GB"/>
        </w:rPr>
        <w:t xml:space="preserve">Robichek W (1981). </w:t>
      </w:r>
      <w:r w:rsidRPr="004421AF">
        <w:rPr>
          <w:spacing w:val="-3"/>
          <w:sz w:val="22"/>
          <w:szCs w:val="22"/>
          <w:lang w:val="en-GB"/>
        </w:rPr>
        <w:t>Some reflections about external public debt management</w:t>
      </w:r>
      <w:r w:rsidR="00CA3BC2" w:rsidRPr="008D3C1A">
        <w:rPr>
          <w:spacing w:val="-3"/>
          <w:sz w:val="22"/>
          <w:szCs w:val="22"/>
          <w:lang w:val="en-GB"/>
        </w:rPr>
        <w:t>.</w:t>
      </w:r>
      <w:r w:rsidR="00610291">
        <w:rPr>
          <w:spacing w:val="-3"/>
          <w:sz w:val="22"/>
          <w:szCs w:val="22"/>
          <w:lang w:val="en-GB"/>
        </w:rPr>
        <w:t xml:space="preserve"> </w:t>
      </w:r>
      <w:r w:rsidR="00333DC7" w:rsidRPr="00610291">
        <w:rPr>
          <w:i/>
          <w:spacing w:val="-3"/>
          <w:sz w:val="22"/>
          <w:szCs w:val="22"/>
          <w:lang w:val="en-US"/>
        </w:rPr>
        <w:t>Alternativ</w:t>
      </w:r>
      <w:r w:rsidR="00333DC7">
        <w:rPr>
          <w:i/>
          <w:spacing w:val="-3"/>
          <w:sz w:val="22"/>
          <w:szCs w:val="22"/>
          <w:lang w:val="en-US"/>
        </w:rPr>
        <w:t>a</w:t>
      </w:r>
      <w:r w:rsidR="00333DC7" w:rsidRPr="00610291">
        <w:rPr>
          <w:i/>
          <w:spacing w:val="-3"/>
          <w:sz w:val="22"/>
          <w:szCs w:val="22"/>
          <w:lang w:val="en-US"/>
        </w:rPr>
        <w:t>s</w:t>
      </w:r>
      <w:r w:rsidRPr="00610291">
        <w:rPr>
          <w:i/>
          <w:spacing w:val="-3"/>
          <w:sz w:val="22"/>
          <w:szCs w:val="22"/>
          <w:lang w:val="en-US"/>
        </w:rPr>
        <w:t xml:space="preserve"> de </w:t>
      </w:r>
    </w:p>
    <w:p w:rsidR="00C41AB4" w:rsidRDefault="004421AF">
      <w:pPr>
        <w:tabs>
          <w:tab w:val="left" w:pos="-720"/>
        </w:tabs>
        <w:spacing w:line="360" w:lineRule="auto"/>
        <w:ind w:left="708" w:hanging="720"/>
        <w:rPr>
          <w:spacing w:val="-3"/>
          <w:sz w:val="22"/>
          <w:szCs w:val="22"/>
          <w:lang w:val="es-CL"/>
        </w:rPr>
      </w:pPr>
      <w:r w:rsidRPr="00610291">
        <w:rPr>
          <w:i/>
          <w:spacing w:val="-3"/>
          <w:sz w:val="22"/>
          <w:szCs w:val="22"/>
          <w:lang w:val="en-US"/>
        </w:rPr>
        <w:tab/>
      </w:r>
      <w:r w:rsidRPr="004421AF">
        <w:rPr>
          <w:i/>
          <w:spacing w:val="-3"/>
          <w:sz w:val="22"/>
          <w:szCs w:val="22"/>
          <w:lang w:val="es-CL"/>
        </w:rPr>
        <w:t>políticas financieras en economías pequeñas y abiertas al exterior, Estudios Monetarios VII</w:t>
      </w:r>
      <w:r w:rsidRPr="004421AF">
        <w:rPr>
          <w:spacing w:val="-3"/>
          <w:sz w:val="22"/>
          <w:szCs w:val="22"/>
          <w:lang w:val="es-CL"/>
        </w:rPr>
        <w:t xml:space="preserve">, Santiago, Banco Central de Chile. </w:t>
      </w:r>
    </w:p>
    <w:p w:rsidR="00C41AB4" w:rsidRDefault="004421AF">
      <w:pPr>
        <w:tabs>
          <w:tab w:val="left" w:pos="-720"/>
        </w:tabs>
        <w:spacing w:after="120" w:line="360" w:lineRule="auto"/>
        <w:ind w:left="708" w:hanging="720"/>
        <w:rPr>
          <w:spacing w:val="-3"/>
          <w:sz w:val="22"/>
          <w:szCs w:val="22"/>
          <w:lang w:val="es-CL"/>
        </w:rPr>
      </w:pPr>
      <w:r w:rsidRPr="004421AF">
        <w:rPr>
          <w:sz w:val="22"/>
          <w:szCs w:val="22"/>
          <w:lang w:val="es-CL"/>
        </w:rPr>
        <w:lastRenderedPageBreak/>
        <w:t xml:space="preserve">Rodríguez J, Escobar L and Jorrat M (2009).  Los ingresos tributarios en el contexto de la política de Balance Estructural. </w:t>
      </w:r>
      <w:r w:rsidRPr="004421AF">
        <w:rPr>
          <w:i/>
          <w:sz w:val="22"/>
          <w:szCs w:val="22"/>
          <w:lang w:val="es-CL"/>
        </w:rPr>
        <w:t>Estudios de Finanzas Públicas,</w:t>
      </w:r>
      <w:r w:rsidRPr="004421AF">
        <w:rPr>
          <w:sz w:val="22"/>
          <w:szCs w:val="22"/>
          <w:lang w:val="es-CL"/>
        </w:rPr>
        <w:t xml:space="preserve"> Santiago, Ministerio de Hacienda.</w:t>
      </w:r>
    </w:p>
    <w:p w:rsidR="00610291" w:rsidRPr="00947EB1" w:rsidRDefault="00610291" w:rsidP="00610291">
      <w:pPr>
        <w:tabs>
          <w:tab w:val="left" w:pos="-720"/>
        </w:tabs>
        <w:suppressAutoHyphens/>
        <w:spacing w:line="360" w:lineRule="auto"/>
        <w:ind w:left="720" w:hanging="720"/>
        <w:rPr>
          <w:spacing w:val="-3"/>
          <w:sz w:val="24"/>
          <w:u w:val="single"/>
        </w:rPr>
      </w:pPr>
      <w:r w:rsidRPr="001D2777">
        <w:rPr>
          <w:spacing w:val="-3"/>
          <w:sz w:val="24"/>
        </w:rPr>
        <w:t>Solimano A (1990)</w:t>
      </w:r>
      <w:r>
        <w:rPr>
          <w:spacing w:val="-3"/>
          <w:sz w:val="24"/>
        </w:rPr>
        <w:t xml:space="preserve">. </w:t>
      </w:r>
      <w:r w:rsidRPr="001D2777">
        <w:rPr>
          <w:spacing w:val="-3"/>
          <w:sz w:val="24"/>
        </w:rPr>
        <w:t>Inversión privada y ajuste macroeconómico. La experiencia chilena en la</w:t>
      </w:r>
      <w:r w:rsidRPr="00742D07">
        <w:rPr>
          <w:spacing w:val="-3"/>
          <w:sz w:val="24"/>
        </w:rPr>
        <w:t xml:space="preserve"> década de los 80, </w:t>
      </w:r>
      <w:r>
        <w:rPr>
          <w:spacing w:val="-3"/>
          <w:sz w:val="24"/>
        </w:rPr>
        <w:t>i</w:t>
      </w:r>
      <w:r w:rsidRPr="00742D07">
        <w:rPr>
          <w:spacing w:val="-3"/>
          <w:sz w:val="24"/>
        </w:rPr>
        <w:t xml:space="preserve">n </w:t>
      </w:r>
      <w:r w:rsidRPr="00742D07">
        <w:rPr>
          <w:i/>
          <w:spacing w:val="-3"/>
          <w:sz w:val="24"/>
        </w:rPr>
        <w:t>Colección Estudios CIEPLAN</w:t>
      </w:r>
      <w:r w:rsidRPr="00742D07">
        <w:rPr>
          <w:spacing w:val="-3"/>
          <w:sz w:val="24"/>
        </w:rPr>
        <w:t xml:space="preserve"> 28, </w:t>
      </w:r>
      <w:r>
        <w:rPr>
          <w:spacing w:val="-3"/>
          <w:sz w:val="24"/>
        </w:rPr>
        <w:t>M</w:t>
      </w:r>
      <w:r w:rsidRPr="00742D07">
        <w:rPr>
          <w:spacing w:val="-3"/>
          <w:sz w:val="24"/>
        </w:rPr>
        <w:t>ar</w:t>
      </w:r>
      <w:r>
        <w:rPr>
          <w:spacing w:val="-3"/>
          <w:sz w:val="24"/>
        </w:rPr>
        <w:t xml:space="preserve">ch. </w:t>
      </w:r>
    </w:p>
    <w:p w:rsidR="00CA3BC2" w:rsidRPr="008D3C1A" w:rsidRDefault="004421AF" w:rsidP="00CA3BC2">
      <w:pPr>
        <w:tabs>
          <w:tab w:val="left" w:pos="-720"/>
        </w:tabs>
        <w:spacing w:after="120" w:line="360" w:lineRule="auto"/>
        <w:ind w:left="708" w:hanging="720"/>
        <w:rPr>
          <w:spacing w:val="-3"/>
          <w:sz w:val="22"/>
          <w:szCs w:val="22"/>
          <w:lang w:val="en-GB"/>
        </w:rPr>
      </w:pPr>
      <w:r w:rsidRPr="004421AF">
        <w:rPr>
          <w:rFonts w:eastAsia="Times New Roman"/>
          <w:sz w:val="22"/>
          <w:szCs w:val="22"/>
          <w:lang w:val="es-CL"/>
        </w:rPr>
        <w:t xml:space="preserve">Tapia H (2003). Balance estructural del gobierno central de Chile: Análisis y propuestas. </w:t>
      </w:r>
      <w:r w:rsidR="00333DC7" w:rsidRPr="004421AF">
        <w:rPr>
          <w:rFonts w:eastAsia="Times New Roman"/>
          <w:i/>
          <w:sz w:val="22"/>
          <w:szCs w:val="22"/>
          <w:lang w:val="en-GB"/>
        </w:rPr>
        <w:t>Serie</w:t>
      </w:r>
      <w:r w:rsidR="00333DC7">
        <w:rPr>
          <w:rFonts w:eastAsia="Times New Roman"/>
          <w:i/>
          <w:sz w:val="22"/>
          <w:szCs w:val="22"/>
          <w:lang w:val="en-GB"/>
        </w:rPr>
        <w:t xml:space="preserve"> </w:t>
      </w:r>
      <w:r w:rsidR="00333DC7" w:rsidRPr="004421AF">
        <w:rPr>
          <w:rFonts w:eastAsia="Times New Roman"/>
          <w:i/>
          <w:sz w:val="22"/>
          <w:szCs w:val="22"/>
          <w:lang w:val="en-GB"/>
        </w:rPr>
        <w:t>Macroeconomía</w:t>
      </w:r>
      <w:r w:rsidR="00333DC7">
        <w:rPr>
          <w:rFonts w:eastAsia="Times New Roman"/>
          <w:i/>
          <w:sz w:val="22"/>
          <w:szCs w:val="22"/>
          <w:lang w:val="en-GB"/>
        </w:rPr>
        <w:t xml:space="preserve"> </w:t>
      </w:r>
      <w:r w:rsidR="00333DC7" w:rsidRPr="004421AF">
        <w:rPr>
          <w:rFonts w:eastAsia="Times New Roman"/>
          <w:i/>
          <w:sz w:val="22"/>
          <w:szCs w:val="22"/>
          <w:lang w:val="en-GB"/>
        </w:rPr>
        <w:t>del</w:t>
      </w:r>
      <w:r w:rsidR="00333DC7">
        <w:rPr>
          <w:rFonts w:eastAsia="Times New Roman"/>
          <w:i/>
          <w:sz w:val="22"/>
          <w:szCs w:val="22"/>
          <w:lang w:val="en-GB"/>
        </w:rPr>
        <w:t xml:space="preserve"> </w:t>
      </w:r>
      <w:r w:rsidR="00333DC7" w:rsidRPr="004421AF">
        <w:rPr>
          <w:rFonts w:eastAsia="Times New Roman"/>
          <w:i/>
          <w:sz w:val="22"/>
          <w:szCs w:val="22"/>
          <w:lang w:val="en-GB"/>
        </w:rPr>
        <w:t>Desarrollo</w:t>
      </w:r>
      <w:r w:rsidRPr="004421AF">
        <w:rPr>
          <w:rFonts w:eastAsia="Times New Roman"/>
          <w:sz w:val="22"/>
          <w:szCs w:val="22"/>
          <w:lang w:val="en-GB"/>
        </w:rPr>
        <w:t>, Nº25, CEPAL.</w:t>
      </w:r>
    </w:p>
    <w:p w:rsidR="00F36C74" w:rsidRPr="008D3C1A" w:rsidRDefault="00CA3BC2" w:rsidP="00CA3BC2">
      <w:pPr>
        <w:tabs>
          <w:tab w:val="left" w:pos="-720"/>
        </w:tabs>
        <w:spacing w:after="120" w:line="360" w:lineRule="auto"/>
        <w:ind w:left="708" w:hanging="720"/>
        <w:rPr>
          <w:spacing w:val="-3"/>
          <w:sz w:val="22"/>
          <w:szCs w:val="22"/>
          <w:lang w:val="en-GB"/>
        </w:rPr>
      </w:pPr>
      <w:r w:rsidRPr="008D3C1A">
        <w:rPr>
          <w:sz w:val="22"/>
          <w:szCs w:val="22"/>
          <w:lang w:val="en-GB"/>
        </w:rPr>
        <w:t xml:space="preserve">Williamson J (2003). </w:t>
      </w:r>
      <w:r w:rsidR="004421AF" w:rsidRPr="004421AF">
        <w:rPr>
          <w:sz w:val="22"/>
          <w:szCs w:val="22"/>
          <w:lang w:val="en-GB"/>
        </w:rPr>
        <w:t>Overview: An Agenda f</w:t>
      </w:r>
      <w:r w:rsidRPr="008D3C1A">
        <w:rPr>
          <w:sz w:val="22"/>
          <w:szCs w:val="22"/>
          <w:lang w:val="en-GB"/>
        </w:rPr>
        <w:t xml:space="preserve">or Restarting Growth and Reform. </w:t>
      </w:r>
      <w:r w:rsidR="00333DC7" w:rsidRPr="008D3C1A">
        <w:rPr>
          <w:sz w:val="22"/>
          <w:szCs w:val="22"/>
          <w:lang w:val="en-GB"/>
        </w:rPr>
        <w:t>In:</w:t>
      </w:r>
      <w:r w:rsidR="00333DC7">
        <w:rPr>
          <w:sz w:val="22"/>
          <w:szCs w:val="22"/>
          <w:lang w:val="en-GB"/>
        </w:rPr>
        <w:t xml:space="preserve"> </w:t>
      </w:r>
      <w:r w:rsidR="00333DC7" w:rsidRPr="004421AF">
        <w:rPr>
          <w:sz w:val="22"/>
          <w:szCs w:val="22"/>
          <w:lang w:val="en-GB"/>
        </w:rPr>
        <w:t>K</w:t>
      </w:r>
      <w:r w:rsidR="00333DC7" w:rsidRPr="008D3C1A">
        <w:rPr>
          <w:spacing w:val="-3"/>
          <w:sz w:val="22"/>
          <w:szCs w:val="22"/>
          <w:lang w:val="en-GB"/>
        </w:rPr>
        <w:t>uczynski</w:t>
      </w:r>
      <w:r w:rsidRPr="008D3C1A">
        <w:rPr>
          <w:spacing w:val="-3"/>
          <w:sz w:val="22"/>
          <w:szCs w:val="22"/>
          <w:lang w:val="en-GB"/>
        </w:rPr>
        <w:t xml:space="preserve"> PP and Williamson J</w:t>
      </w:r>
      <w:r w:rsidR="004421AF" w:rsidRPr="004421AF">
        <w:rPr>
          <w:spacing w:val="-3"/>
          <w:sz w:val="22"/>
          <w:szCs w:val="22"/>
          <w:lang w:val="en-GB"/>
        </w:rPr>
        <w:t xml:space="preserve">, eds., </w:t>
      </w:r>
      <w:r w:rsidR="004421AF" w:rsidRPr="004421AF">
        <w:rPr>
          <w:i/>
          <w:spacing w:val="-3"/>
          <w:sz w:val="22"/>
          <w:szCs w:val="22"/>
          <w:lang w:val="en-GB"/>
        </w:rPr>
        <w:t>After the Washington Consensus</w:t>
      </w:r>
      <w:r w:rsidR="00333DC7" w:rsidRPr="004421AF">
        <w:rPr>
          <w:i/>
          <w:spacing w:val="-3"/>
          <w:sz w:val="22"/>
          <w:szCs w:val="22"/>
          <w:lang w:val="en-GB"/>
        </w:rPr>
        <w:t>: Restarting</w:t>
      </w:r>
      <w:r w:rsidR="004421AF" w:rsidRPr="004421AF">
        <w:rPr>
          <w:i/>
          <w:spacing w:val="-3"/>
          <w:sz w:val="22"/>
          <w:szCs w:val="22"/>
          <w:lang w:val="en-GB"/>
        </w:rPr>
        <w:t xml:space="preserve"> Growth and Reform in Latin America</w:t>
      </w:r>
      <w:r w:rsidR="004421AF" w:rsidRPr="004421AF">
        <w:rPr>
          <w:spacing w:val="-3"/>
          <w:sz w:val="22"/>
          <w:szCs w:val="22"/>
          <w:lang w:val="en-GB"/>
        </w:rPr>
        <w:t>, Washington, DC</w:t>
      </w:r>
      <w:r w:rsidRPr="008D3C1A">
        <w:rPr>
          <w:spacing w:val="-3"/>
          <w:sz w:val="22"/>
          <w:szCs w:val="22"/>
          <w:lang w:val="en-GB"/>
        </w:rPr>
        <w:t xml:space="preserve">, </w:t>
      </w:r>
      <w:r w:rsidR="004421AF" w:rsidRPr="004421AF">
        <w:rPr>
          <w:spacing w:val="-3"/>
          <w:sz w:val="22"/>
          <w:szCs w:val="22"/>
          <w:lang w:val="en-GB"/>
        </w:rPr>
        <w:t>Institute for International Economics.</w:t>
      </w:r>
    </w:p>
    <w:p w:rsidR="001935CD" w:rsidRDefault="001935CD" w:rsidP="001935CD">
      <w:pPr>
        <w:jc w:val="center"/>
        <w:rPr>
          <w:lang w:val="en-US"/>
        </w:rPr>
      </w:pPr>
    </w:p>
    <w:p w:rsidR="001935CD" w:rsidRDefault="001935CD" w:rsidP="001935CD">
      <w:pPr>
        <w:jc w:val="center"/>
        <w:rPr>
          <w:lang w:val="en-US"/>
        </w:rPr>
      </w:pPr>
    </w:p>
    <w:p w:rsidR="001935CD" w:rsidRDefault="001935CD" w:rsidP="001935CD">
      <w:pPr>
        <w:jc w:val="center"/>
        <w:rPr>
          <w:lang w:val="en-US"/>
        </w:rPr>
      </w:pPr>
    </w:p>
    <w:p w:rsidR="001935CD" w:rsidRDefault="001935CD" w:rsidP="001935CD">
      <w:pPr>
        <w:jc w:val="center"/>
        <w:rPr>
          <w:lang w:val="en-US"/>
        </w:rPr>
      </w:pPr>
    </w:p>
    <w:p w:rsidR="001935CD" w:rsidRDefault="001935CD" w:rsidP="001935CD">
      <w:pPr>
        <w:jc w:val="center"/>
        <w:rPr>
          <w:lang w:val="en-US"/>
        </w:rPr>
      </w:pPr>
    </w:p>
    <w:p w:rsidR="001935CD" w:rsidRDefault="001935CD" w:rsidP="001935CD">
      <w:pPr>
        <w:jc w:val="center"/>
        <w:rPr>
          <w:lang w:val="es-CL"/>
        </w:rPr>
      </w:pPr>
      <w:r w:rsidRPr="004C10E6">
        <w:rPr>
          <w:lang w:val="es-CL"/>
        </w:rPr>
        <w:t>Figure 1</w:t>
      </w:r>
    </w:p>
    <w:p w:rsidR="001935CD" w:rsidRDefault="001935CD" w:rsidP="001935CD">
      <w:pPr>
        <w:jc w:val="center"/>
        <w:rPr>
          <w:lang w:val="es-CL"/>
        </w:rPr>
      </w:pPr>
    </w:p>
    <w:p w:rsidR="001935CD" w:rsidRDefault="00D34EA4" w:rsidP="001935CD">
      <w:pPr>
        <w:jc w:val="center"/>
        <w:rPr>
          <w:lang w:val="es-CL"/>
        </w:rPr>
      </w:pPr>
      <w:r>
        <w:rPr>
          <w:noProof/>
          <w:lang w:val="es-CL" w:eastAsia="es-CL"/>
        </w:rPr>
        <w:drawing>
          <wp:inline distT="0" distB="0" distL="0" distR="0">
            <wp:extent cx="5400040" cy="2711018"/>
            <wp:effectExtent l="19050" t="0" r="10160" b="0"/>
            <wp:docPr id="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35CD" w:rsidRDefault="001935CD" w:rsidP="001935CD">
      <w:pPr>
        <w:jc w:val="center"/>
        <w:rPr>
          <w:lang w:val="es-CL"/>
        </w:rPr>
      </w:pPr>
    </w:p>
    <w:p w:rsidR="001935CD" w:rsidRPr="00EC28C1" w:rsidRDefault="001935CD" w:rsidP="001935CD">
      <w:pPr>
        <w:jc w:val="center"/>
        <w:rPr>
          <w:rFonts w:eastAsia="Times New Roman"/>
          <w:sz w:val="18"/>
          <w:szCs w:val="18"/>
          <w:lang w:val="en-US"/>
        </w:rPr>
      </w:pPr>
      <w:r w:rsidRPr="004A4A7E">
        <w:rPr>
          <w:rFonts w:eastAsia="Times New Roman"/>
          <w:b/>
          <w:sz w:val="18"/>
          <w:szCs w:val="18"/>
          <w:lang w:val="en-US"/>
        </w:rPr>
        <w:t>Source:</w:t>
      </w:r>
      <w:r w:rsidRPr="00EC28C1">
        <w:rPr>
          <w:rFonts w:eastAsia="Times New Roman"/>
          <w:sz w:val="18"/>
          <w:szCs w:val="18"/>
          <w:lang w:val="en-US"/>
        </w:rPr>
        <w:t xml:space="preserve"> Estimates </w:t>
      </w:r>
      <w:r>
        <w:rPr>
          <w:rFonts w:eastAsia="Times New Roman"/>
          <w:sz w:val="18"/>
          <w:szCs w:val="18"/>
          <w:lang w:val="en-US"/>
        </w:rPr>
        <w:t xml:space="preserve">in Ffrench-Davis (2010, ch. I, annex), based </w:t>
      </w:r>
      <w:r w:rsidR="00333DC7" w:rsidRPr="00EC28C1">
        <w:rPr>
          <w:rFonts w:eastAsia="Times New Roman"/>
          <w:sz w:val="18"/>
          <w:szCs w:val="18"/>
          <w:lang w:val="en-US"/>
        </w:rPr>
        <w:t xml:space="preserve">on </w:t>
      </w:r>
      <w:r w:rsidR="00333DC7">
        <w:rPr>
          <w:rFonts w:eastAsia="Times New Roman"/>
          <w:sz w:val="18"/>
          <w:szCs w:val="18"/>
          <w:lang w:val="en-US"/>
        </w:rPr>
        <w:t>Central</w:t>
      </w:r>
      <w:r>
        <w:rPr>
          <w:rFonts w:eastAsia="Times New Roman"/>
          <w:sz w:val="18"/>
          <w:szCs w:val="18"/>
          <w:lang w:val="en-US"/>
        </w:rPr>
        <w:t xml:space="preserve"> Bank data.</w:t>
      </w:r>
    </w:p>
    <w:p w:rsidR="001935CD" w:rsidRPr="00EC28C1" w:rsidRDefault="001935CD" w:rsidP="001935CD">
      <w:pPr>
        <w:suppressAutoHyphens/>
        <w:rPr>
          <w:rFonts w:eastAsia="Times New Roman"/>
          <w:sz w:val="18"/>
          <w:szCs w:val="18"/>
          <w:lang w:val="en-US"/>
        </w:rPr>
      </w:pPr>
    </w:p>
    <w:tbl>
      <w:tblPr>
        <w:tblW w:w="8949" w:type="dxa"/>
        <w:jc w:val="right"/>
        <w:tblLayout w:type="fixed"/>
        <w:tblCellMar>
          <w:left w:w="70" w:type="dxa"/>
          <w:right w:w="70" w:type="dxa"/>
        </w:tblCellMar>
        <w:tblLook w:val="04A0" w:firstRow="1" w:lastRow="0" w:firstColumn="1" w:lastColumn="0" w:noHBand="0" w:noVBand="1"/>
      </w:tblPr>
      <w:tblGrid>
        <w:gridCol w:w="8949"/>
      </w:tblGrid>
      <w:tr w:rsidR="001935CD" w:rsidRPr="00610291" w:rsidTr="00C41AB4">
        <w:trPr>
          <w:trHeight w:val="567"/>
          <w:jc w:val="right"/>
        </w:trPr>
        <w:tc>
          <w:tcPr>
            <w:tcW w:w="8949" w:type="dxa"/>
            <w:noWrap/>
            <w:vAlign w:val="bottom"/>
            <w:hideMark/>
          </w:tcPr>
          <w:p w:rsidR="001935CD" w:rsidRPr="00AB0BA7" w:rsidRDefault="001935CD" w:rsidP="00C41AB4">
            <w:pPr>
              <w:rPr>
                <w:rFonts w:eastAsia="Times New Roman"/>
                <w:szCs w:val="24"/>
                <w:lang w:val="en-US"/>
              </w:rPr>
            </w:pPr>
          </w:p>
        </w:tc>
      </w:tr>
      <w:tr w:rsidR="001935CD" w:rsidRPr="00610291" w:rsidTr="00C41AB4">
        <w:trPr>
          <w:trHeight w:val="255"/>
          <w:jc w:val="right"/>
        </w:trPr>
        <w:tc>
          <w:tcPr>
            <w:tcW w:w="8949" w:type="dxa"/>
            <w:tcBorders>
              <w:top w:val="nil"/>
              <w:left w:val="nil"/>
              <w:bottom w:val="nil"/>
              <w:right w:val="nil"/>
            </w:tcBorders>
            <w:shd w:val="clear" w:color="auto" w:fill="auto"/>
            <w:noWrap/>
            <w:vAlign w:val="bottom"/>
          </w:tcPr>
          <w:p w:rsidR="001935CD" w:rsidRPr="00D34EA4" w:rsidRDefault="001935CD">
            <w:pPr>
              <w:rPr>
                <w:lang w:val="en-US"/>
              </w:rPr>
            </w:pPr>
          </w:p>
          <w:p w:rsidR="001935CD" w:rsidRPr="00D34EA4" w:rsidRDefault="001935CD">
            <w:pPr>
              <w:rPr>
                <w:lang w:val="en-US"/>
              </w:rPr>
            </w:pPr>
          </w:p>
          <w:p w:rsidR="001935CD" w:rsidRPr="00D34EA4" w:rsidRDefault="001935CD">
            <w:pPr>
              <w:rPr>
                <w:lang w:val="en-US"/>
              </w:rPr>
            </w:pPr>
          </w:p>
          <w:p w:rsidR="001935CD" w:rsidRPr="00D34EA4" w:rsidRDefault="001935CD">
            <w:pPr>
              <w:rPr>
                <w:lang w:val="en-US"/>
              </w:rPr>
            </w:pPr>
          </w:p>
          <w:p w:rsidR="001935CD" w:rsidRPr="00D34EA4" w:rsidRDefault="001935CD">
            <w:pPr>
              <w:rPr>
                <w:lang w:val="en-US"/>
              </w:rPr>
            </w:pPr>
          </w:p>
          <w:tbl>
            <w:tblPr>
              <w:tblW w:w="7336" w:type="dxa"/>
              <w:jc w:val="center"/>
              <w:tblLayout w:type="fixed"/>
              <w:tblCellMar>
                <w:left w:w="70" w:type="dxa"/>
                <w:right w:w="70" w:type="dxa"/>
              </w:tblCellMar>
              <w:tblLook w:val="04A0" w:firstRow="1" w:lastRow="0" w:firstColumn="1" w:lastColumn="0" w:noHBand="0" w:noVBand="1"/>
            </w:tblPr>
            <w:tblGrid>
              <w:gridCol w:w="7336"/>
            </w:tblGrid>
            <w:tr w:rsidR="001935CD" w:rsidRPr="00AB0BA7" w:rsidTr="00C41AB4">
              <w:trPr>
                <w:trHeight w:val="300"/>
                <w:jc w:val="center"/>
              </w:trPr>
              <w:tc>
                <w:tcPr>
                  <w:tcW w:w="7336" w:type="dxa"/>
                  <w:tcBorders>
                    <w:top w:val="nil"/>
                    <w:left w:val="nil"/>
                    <w:bottom w:val="nil"/>
                    <w:right w:val="nil"/>
                  </w:tcBorders>
                  <w:shd w:val="clear" w:color="auto" w:fill="auto"/>
                  <w:noWrap/>
                  <w:vAlign w:val="bottom"/>
                  <w:hideMark/>
                </w:tcPr>
                <w:p w:rsidR="001935CD" w:rsidRDefault="001935CD" w:rsidP="00C41AB4">
                  <w:pPr>
                    <w:jc w:val="center"/>
                    <w:rPr>
                      <w:rFonts w:eastAsia="Times New Roman"/>
                      <w:lang w:val="en-US"/>
                    </w:rPr>
                  </w:pPr>
                </w:p>
                <w:p w:rsidR="001935CD" w:rsidRDefault="001935CD" w:rsidP="00C41AB4">
                  <w:pPr>
                    <w:jc w:val="center"/>
                    <w:rPr>
                      <w:rFonts w:eastAsia="Times New Roman"/>
                      <w:lang w:val="en-US"/>
                    </w:rPr>
                  </w:pPr>
                </w:p>
                <w:p w:rsidR="001935CD" w:rsidRDefault="001935CD" w:rsidP="00C41AB4">
                  <w:pPr>
                    <w:jc w:val="center"/>
                    <w:rPr>
                      <w:rFonts w:eastAsia="Times New Roman"/>
                      <w:lang w:val="en-US"/>
                    </w:rPr>
                  </w:pPr>
                </w:p>
                <w:p w:rsidR="001935CD" w:rsidRDefault="001935CD" w:rsidP="00C41AB4">
                  <w:pPr>
                    <w:jc w:val="center"/>
                    <w:rPr>
                      <w:rFonts w:eastAsia="Times New Roman"/>
                      <w:lang w:val="en-US"/>
                    </w:rPr>
                  </w:pPr>
                </w:p>
                <w:p w:rsidR="001935CD" w:rsidRDefault="001935CD" w:rsidP="00C41AB4">
                  <w:pPr>
                    <w:jc w:val="center"/>
                    <w:rPr>
                      <w:rFonts w:eastAsia="Times New Roman"/>
                      <w:lang w:val="en-US"/>
                    </w:rPr>
                  </w:pPr>
                </w:p>
                <w:p w:rsidR="001935CD" w:rsidRDefault="001935CD" w:rsidP="00C41AB4">
                  <w:pPr>
                    <w:jc w:val="center"/>
                    <w:rPr>
                      <w:rFonts w:eastAsia="Times New Roman"/>
                      <w:lang w:val="en-US"/>
                    </w:rPr>
                  </w:pPr>
                </w:p>
                <w:p w:rsidR="001935CD" w:rsidRDefault="001935CD" w:rsidP="00C41AB4">
                  <w:pPr>
                    <w:jc w:val="center"/>
                    <w:rPr>
                      <w:rFonts w:eastAsia="Times New Roman"/>
                      <w:lang w:val="en-US"/>
                    </w:rPr>
                  </w:pPr>
                </w:p>
                <w:p w:rsidR="001935CD" w:rsidRDefault="001935CD" w:rsidP="00C41AB4">
                  <w:pPr>
                    <w:jc w:val="center"/>
                    <w:rPr>
                      <w:rFonts w:eastAsia="Times New Roman"/>
                      <w:lang w:val="en-US"/>
                    </w:rPr>
                  </w:pPr>
                </w:p>
                <w:p w:rsidR="001935CD" w:rsidRDefault="001935CD" w:rsidP="00C41AB4">
                  <w:pPr>
                    <w:jc w:val="center"/>
                    <w:rPr>
                      <w:rFonts w:eastAsia="Times New Roman"/>
                      <w:lang w:val="en-US"/>
                    </w:rPr>
                  </w:pPr>
                </w:p>
                <w:p w:rsidR="001935CD" w:rsidRDefault="001935CD" w:rsidP="00C41AB4">
                  <w:pPr>
                    <w:jc w:val="center"/>
                    <w:rPr>
                      <w:rFonts w:eastAsia="Times New Roman"/>
                      <w:lang w:val="en-US"/>
                    </w:rPr>
                  </w:pPr>
                </w:p>
                <w:p w:rsidR="001935CD" w:rsidRDefault="001935CD" w:rsidP="00C41AB4">
                  <w:pPr>
                    <w:jc w:val="center"/>
                    <w:rPr>
                      <w:rFonts w:eastAsia="Times New Roman"/>
                      <w:lang w:val="en-US"/>
                    </w:rPr>
                  </w:pPr>
                </w:p>
                <w:p w:rsidR="001935CD" w:rsidRPr="00E927F3" w:rsidRDefault="001935CD" w:rsidP="00C41AB4">
                  <w:pPr>
                    <w:jc w:val="center"/>
                    <w:rPr>
                      <w:rFonts w:eastAsia="Times New Roman"/>
                      <w:lang w:val="en-US"/>
                    </w:rPr>
                  </w:pPr>
                  <w:r w:rsidRPr="00E927F3">
                    <w:rPr>
                      <w:rFonts w:eastAsia="Times New Roman"/>
                      <w:lang w:val="en-US"/>
                    </w:rPr>
                    <w:t>Table 1</w:t>
                  </w:r>
                </w:p>
              </w:tc>
            </w:tr>
            <w:tr w:rsidR="001935CD" w:rsidRPr="00610291" w:rsidTr="00C41AB4">
              <w:trPr>
                <w:trHeight w:val="300"/>
                <w:jc w:val="center"/>
              </w:trPr>
              <w:tc>
                <w:tcPr>
                  <w:tcW w:w="7336" w:type="dxa"/>
                  <w:tcBorders>
                    <w:top w:val="nil"/>
                    <w:left w:val="nil"/>
                    <w:bottom w:val="nil"/>
                    <w:right w:val="nil"/>
                  </w:tcBorders>
                  <w:shd w:val="clear" w:color="auto" w:fill="auto"/>
                  <w:noWrap/>
                  <w:vAlign w:val="bottom"/>
                  <w:hideMark/>
                </w:tcPr>
                <w:p w:rsidR="001935CD" w:rsidRPr="005C750D" w:rsidRDefault="001935CD" w:rsidP="00C41AB4">
                  <w:pPr>
                    <w:rPr>
                      <w:rFonts w:eastAsia="Times New Roman"/>
                      <w:b/>
                      <w:lang w:val="en-US"/>
                    </w:rPr>
                  </w:pPr>
                  <w:r w:rsidRPr="005C750D">
                    <w:rPr>
                      <w:rFonts w:eastAsia="Times New Roman"/>
                      <w:b/>
                      <w:lang w:val="en-US"/>
                    </w:rPr>
                    <w:lastRenderedPageBreak/>
                    <w:t>GDP, GDP per capita and  income distribution, 1974-2013</w:t>
                  </w:r>
                </w:p>
                <w:p w:rsidR="001935CD" w:rsidRPr="005C750D" w:rsidRDefault="001935CD" w:rsidP="00C41AB4">
                  <w:pPr>
                    <w:rPr>
                      <w:rFonts w:eastAsia="Times New Roman"/>
                      <w:b/>
                      <w:lang w:val="en-US"/>
                    </w:rPr>
                  </w:pPr>
                  <w:r w:rsidRPr="005C750D">
                    <w:rPr>
                      <w:rFonts w:eastAsia="Times New Roman"/>
                      <w:b/>
                      <w:lang w:val="en-US"/>
                    </w:rPr>
                    <w:t xml:space="preserve">                                                     (annual averages)</w:t>
                  </w:r>
                </w:p>
                <w:tbl>
                  <w:tblPr>
                    <w:tblW w:w="7642" w:type="dxa"/>
                    <w:tblLayout w:type="fixed"/>
                    <w:tblLook w:val="04A0" w:firstRow="1" w:lastRow="0" w:firstColumn="1" w:lastColumn="0" w:noHBand="0" w:noVBand="1"/>
                  </w:tblPr>
                  <w:tblGrid>
                    <w:gridCol w:w="1342"/>
                    <w:gridCol w:w="1540"/>
                    <w:gridCol w:w="2080"/>
                    <w:gridCol w:w="1200"/>
                    <w:gridCol w:w="1480"/>
                  </w:tblGrid>
                  <w:tr w:rsidR="001935CD" w:rsidRPr="005C750D" w:rsidTr="00C41AB4">
                    <w:trPr>
                      <w:trHeight w:val="705"/>
                    </w:trPr>
                    <w:tc>
                      <w:tcPr>
                        <w:tcW w:w="1342" w:type="dxa"/>
                        <w:tcBorders>
                          <w:top w:val="nil"/>
                          <w:left w:val="nil"/>
                          <w:bottom w:val="nil"/>
                          <w:right w:val="nil"/>
                        </w:tcBorders>
                        <w:shd w:val="clear" w:color="000000" w:fill="D9D9D9"/>
                        <w:noWrap/>
                        <w:vAlign w:val="bottom"/>
                        <w:hideMark/>
                      </w:tcPr>
                      <w:p w:rsidR="001935CD" w:rsidRPr="005C750D" w:rsidRDefault="001935CD" w:rsidP="00C41AB4">
                        <w:pP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 </w:t>
                        </w:r>
                      </w:p>
                    </w:tc>
                    <w:tc>
                      <w:tcPr>
                        <w:tcW w:w="1540" w:type="dxa"/>
                        <w:tcBorders>
                          <w:top w:val="nil"/>
                          <w:left w:val="nil"/>
                          <w:bottom w:val="nil"/>
                          <w:right w:val="nil"/>
                        </w:tcBorders>
                        <w:shd w:val="clear" w:color="000000" w:fill="D9D9D9"/>
                        <w:vAlign w:val="center"/>
                        <w:hideMark/>
                      </w:tcPr>
                      <w:p w:rsidR="001935CD" w:rsidRPr="005C750D" w:rsidRDefault="001935CD" w:rsidP="00C41AB4">
                        <w:pPr>
                          <w:jc w:val="cente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GDP growth (%)</w:t>
                        </w:r>
                      </w:p>
                    </w:tc>
                    <w:tc>
                      <w:tcPr>
                        <w:tcW w:w="2080" w:type="dxa"/>
                        <w:tcBorders>
                          <w:top w:val="nil"/>
                          <w:left w:val="nil"/>
                          <w:bottom w:val="nil"/>
                          <w:right w:val="nil"/>
                        </w:tcBorders>
                        <w:shd w:val="clear" w:color="000000" w:fill="D9D9D9"/>
                        <w:vAlign w:val="center"/>
                        <w:hideMark/>
                      </w:tcPr>
                      <w:p w:rsidR="001935CD" w:rsidRPr="005C750D" w:rsidRDefault="001935CD" w:rsidP="00C41AB4">
                        <w:pPr>
                          <w:jc w:val="cente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GDP per capita growth (%)</w:t>
                        </w:r>
                      </w:p>
                    </w:tc>
                    <w:tc>
                      <w:tcPr>
                        <w:tcW w:w="1200" w:type="dxa"/>
                        <w:tcBorders>
                          <w:top w:val="nil"/>
                          <w:left w:val="nil"/>
                          <w:bottom w:val="nil"/>
                          <w:right w:val="nil"/>
                        </w:tcBorders>
                        <w:shd w:val="clear" w:color="000000" w:fill="D9D9D9"/>
                        <w:vAlign w:val="center"/>
                        <w:hideMark/>
                      </w:tcPr>
                      <w:p w:rsidR="001935CD" w:rsidRPr="005C750D" w:rsidRDefault="001935CD" w:rsidP="00C41AB4">
                        <w:pPr>
                          <w:jc w:val="cente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Q5/Q1 ratio</w:t>
                        </w:r>
                      </w:p>
                    </w:tc>
                    <w:tc>
                      <w:tcPr>
                        <w:tcW w:w="1480" w:type="dxa"/>
                        <w:tcBorders>
                          <w:top w:val="nil"/>
                          <w:left w:val="nil"/>
                          <w:bottom w:val="nil"/>
                          <w:right w:val="nil"/>
                        </w:tcBorders>
                        <w:shd w:val="clear" w:color="000000" w:fill="D9D9D9"/>
                        <w:vAlign w:val="center"/>
                        <w:hideMark/>
                      </w:tcPr>
                      <w:p w:rsidR="001935CD" w:rsidRPr="005C750D" w:rsidRDefault="001935CD" w:rsidP="00C41AB4">
                        <w:pP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 xml:space="preserve">      GINI</w:t>
                        </w:r>
                      </w:p>
                      <w:p w:rsidR="001935CD" w:rsidRPr="005C750D" w:rsidRDefault="001935CD" w:rsidP="00C41AB4">
                        <w:pP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coefficient</w:t>
                        </w:r>
                      </w:p>
                    </w:tc>
                  </w:tr>
                  <w:tr w:rsidR="001935CD" w:rsidRPr="005C750D" w:rsidTr="00C41AB4">
                    <w:trPr>
                      <w:trHeight w:val="300"/>
                    </w:trPr>
                    <w:tc>
                      <w:tcPr>
                        <w:tcW w:w="1342" w:type="dxa"/>
                        <w:tcBorders>
                          <w:top w:val="nil"/>
                          <w:left w:val="nil"/>
                          <w:bottom w:val="nil"/>
                          <w:right w:val="nil"/>
                        </w:tcBorders>
                        <w:shd w:val="clear" w:color="000000" w:fill="D9D9D9"/>
                        <w:noWrap/>
                        <w:vAlign w:val="bottom"/>
                        <w:hideMark/>
                      </w:tcPr>
                      <w:p w:rsidR="001935CD" w:rsidRPr="005C750D" w:rsidRDefault="001935CD" w:rsidP="00C41AB4">
                        <w:pP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 </w:t>
                        </w:r>
                      </w:p>
                    </w:tc>
                    <w:tc>
                      <w:tcPr>
                        <w:tcW w:w="1540" w:type="dxa"/>
                        <w:tcBorders>
                          <w:top w:val="nil"/>
                          <w:left w:val="nil"/>
                          <w:bottom w:val="nil"/>
                          <w:right w:val="nil"/>
                        </w:tcBorders>
                        <w:shd w:val="clear" w:color="000000" w:fill="D9D9D9"/>
                        <w:vAlign w:val="center"/>
                        <w:hideMark/>
                      </w:tcPr>
                      <w:p w:rsidR="001935CD" w:rsidRPr="005C750D" w:rsidRDefault="001935CD" w:rsidP="00C41AB4">
                        <w:pPr>
                          <w:jc w:val="cente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(1)</w:t>
                        </w:r>
                      </w:p>
                    </w:tc>
                    <w:tc>
                      <w:tcPr>
                        <w:tcW w:w="2080" w:type="dxa"/>
                        <w:tcBorders>
                          <w:top w:val="nil"/>
                          <w:left w:val="nil"/>
                          <w:bottom w:val="nil"/>
                          <w:right w:val="nil"/>
                        </w:tcBorders>
                        <w:shd w:val="clear" w:color="000000" w:fill="D9D9D9"/>
                        <w:vAlign w:val="center"/>
                        <w:hideMark/>
                      </w:tcPr>
                      <w:p w:rsidR="001935CD" w:rsidRPr="005C750D" w:rsidRDefault="001935CD" w:rsidP="00C41AB4">
                        <w:pPr>
                          <w:jc w:val="cente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(2)</w:t>
                        </w:r>
                      </w:p>
                    </w:tc>
                    <w:tc>
                      <w:tcPr>
                        <w:tcW w:w="1200" w:type="dxa"/>
                        <w:tcBorders>
                          <w:top w:val="nil"/>
                          <w:left w:val="nil"/>
                          <w:bottom w:val="nil"/>
                          <w:right w:val="nil"/>
                        </w:tcBorders>
                        <w:shd w:val="clear" w:color="000000" w:fill="D9D9D9"/>
                        <w:vAlign w:val="center"/>
                        <w:hideMark/>
                      </w:tcPr>
                      <w:p w:rsidR="001935CD" w:rsidRPr="005C750D" w:rsidRDefault="001935CD" w:rsidP="00C41AB4">
                        <w:pPr>
                          <w:jc w:val="cente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(3)</w:t>
                        </w:r>
                      </w:p>
                    </w:tc>
                    <w:tc>
                      <w:tcPr>
                        <w:tcW w:w="1480" w:type="dxa"/>
                        <w:tcBorders>
                          <w:top w:val="nil"/>
                          <w:left w:val="nil"/>
                          <w:bottom w:val="nil"/>
                          <w:right w:val="nil"/>
                        </w:tcBorders>
                        <w:shd w:val="clear" w:color="000000" w:fill="D9D9D9"/>
                        <w:vAlign w:val="center"/>
                        <w:hideMark/>
                      </w:tcPr>
                      <w:p w:rsidR="001935CD" w:rsidRPr="005C750D" w:rsidRDefault="001935CD" w:rsidP="00C41AB4">
                        <w:pPr>
                          <w:jc w:val="center"/>
                          <w:rPr>
                            <w:rFonts w:ascii="Calibri" w:eastAsia="Times New Roman" w:hAnsi="Calibri"/>
                            <w:b/>
                            <w:color w:val="000000"/>
                            <w:sz w:val="22"/>
                            <w:szCs w:val="22"/>
                            <w:lang w:val="en-US"/>
                          </w:rPr>
                        </w:pPr>
                        <w:r w:rsidRPr="005C750D">
                          <w:rPr>
                            <w:rFonts w:ascii="Calibri" w:eastAsia="Times New Roman" w:hAnsi="Calibri"/>
                            <w:b/>
                            <w:color w:val="000000"/>
                            <w:sz w:val="22"/>
                            <w:szCs w:val="22"/>
                            <w:lang w:val="en-US"/>
                          </w:rPr>
                          <w:t>(4)</w:t>
                        </w:r>
                      </w:p>
                    </w:tc>
                  </w:tr>
                  <w:tr w:rsidR="001935CD" w:rsidRPr="000718E2" w:rsidTr="00C41AB4">
                    <w:trPr>
                      <w:trHeight w:val="300"/>
                    </w:trPr>
                    <w:tc>
                      <w:tcPr>
                        <w:tcW w:w="1342" w:type="dxa"/>
                        <w:tcBorders>
                          <w:top w:val="single" w:sz="4" w:space="0" w:color="auto"/>
                          <w:left w:val="nil"/>
                          <w:bottom w:val="nil"/>
                          <w:right w:val="nil"/>
                        </w:tcBorders>
                        <w:shd w:val="clear" w:color="auto" w:fill="auto"/>
                        <w:noWrap/>
                        <w:vAlign w:val="bottom"/>
                        <w:hideMark/>
                      </w:tcPr>
                      <w:p w:rsidR="001935CD" w:rsidRPr="00D357FA" w:rsidRDefault="001935CD" w:rsidP="00C41AB4">
                        <w:pP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1974 – 1981</w:t>
                        </w:r>
                      </w:p>
                    </w:tc>
                    <w:tc>
                      <w:tcPr>
                        <w:tcW w:w="1540" w:type="dxa"/>
                        <w:tcBorders>
                          <w:top w:val="single" w:sz="4" w:space="0" w:color="auto"/>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3.0</w:t>
                        </w:r>
                      </w:p>
                    </w:tc>
                    <w:tc>
                      <w:tcPr>
                        <w:tcW w:w="2080" w:type="dxa"/>
                        <w:tcBorders>
                          <w:top w:val="single" w:sz="4" w:space="0" w:color="auto"/>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1.5</w:t>
                        </w:r>
                      </w:p>
                    </w:tc>
                    <w:tc>
                      <w:tcPr>
                        <w:tcW w:w="1200" w:type="dxa"/>
                        <w:tcBorders>
                          <w:top w:val="single" w:sz="4" w:space="0" w:color="auto"/>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15.1</w:t>
                        </w:r>
                      </w:p>
                    </w:tc>
                    <w:tc>
                      <w:tcPr>
                        <w:tcW w:w="1480" w:type="dxa"/>
                        <w:tcBorders>
                          <w:top w:val="single" w:sz="4" w:space="0" w:color="auto"/>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51.9</w:t>
                        </w:r>
                      </w:p>
                    </w:tc>
                  </w:tr>
                  <w:tr w:rsidR="001935CD" w:rsidRPr="000718E2" w:rsidTr="00C41AB4">
                    <w:trPr>
                      <w:trHeight w:val="300"/>
                    </w:trPr>
                    <w:tc>
                      <w:tcPr>
                        <w:tcW w:w="1342" w:type="dxa"/>
                        <w:tcBorders>
                          <w:top w:val="nil"/>
                          <w:left w:val="nil"/>
                          <w:bottom w:val="nil"/>
                          <w:right w:val="nil"/>
                        </w:tcBorders>
                        <w:shd w:val="clear" w:color="auto" w:fill="auto"/>
                        <w:noWrap/>
                        <w:vAlign w:val="bottom"/>
                        <w:hideMark/>
                      </w:tcPr>
                      <w:p w:rsidR="001935CD" w:rsidRPr="008A4C05" w:rsidRDefault="001935CD" w:rsidP="00C41AB4">
                        <w:pP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 xml:space="preserve">1982 </w:t>
                        </w:r>
                        <w:r>
                          <w:rPr>
                            <w:rFonts w:ascii="Calibri" w:eastAsia="Times New Roman" w:hAnsi="Calibri"/>
                            <w:color w:val="000000"/>
                            <w:sz w:val="22"/>
                            <w:szCs w:val="22"/>
                            <w:lang w:val="en-US"/>
                          </w:rPr>
                          <w:t>–</w:t>
                        </w:r>
                        <w:r w:rsidRPr="008A4C05">
                          <w:rPr>
                            <w:rFonts w:ascii="Calibri" w:eastAsia="Times New Roman" w:hAnsi="Calibri"/>
                            <w:color w:val="000000"/>
                            <w:sz w:val="22"/>
                            <w:szCs w:val="22"/>
                            <w:lang w:val="en-US"/>
                          </w:rPr>
                          <w:t xml:space="preserve"> 1989</w:t>
                        </w:r>
                      </w:p>
                    </w:tc>
                    <w:tc>
                      <w:tcPr>
                        <w:tcW w:w="1540" w:type="dxa"/>
                        <w:tcBorders>
                          <w:top w:val="nil"/>
                          <w:left w:val="nil"/>
                          <w:bottom w:val="nil"/>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2.9</w:t>
                        </w:r>
                      </w:p>
                    </w:tc>
                    <w:tc>
                      <w:tcPr>
                        <w:tcW w:w="2080" w:type="dxa"/>
                        <w:tcBorders>
                          <w:top w:val="nil"/>
                          <w:left w:val="nil"/>
                          <w:bottom w:val="nil"/>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1.2</w:t>
                        </w:r>
                      </w:p>
                    </w:tc>
                    <w:tc>
                      <w:tcPr>
                        <w:tcW w:w="1200" w:type="dxa"/>
                        <w:tcBorders>
                          <w:top w:val="nil"/>
                          <w:left w:val="nil"/>
                          <w:bottom w:val="nil"/>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20.2</w:t>
                        </w:r>
                      </w:p>
                    </w:tc>
                    <w:tc>
                      <w:tcPr>
                        <w:tcW w:w="1480" w:type="dxa"/>
                        <w:tcBorders>
                          <w:top w:val="nil"/>
                          <w:left w:val="nil"/>
                          <w:bottom w:val="nil"/>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56.7</w:t>
                        </w:r>
                      </w:p>
                    </w:tc>
                  </w:tr>
                  <w:tr w:rsidR="001935CD" w:rsidRPr="000718E2" w:rsidTr="00C41AB4">
                    <w:trPr>
                      <w:trHeight w:val="300"/>
                    </w:trPr>
                    <w:tc>
                      <w:tcPr>
                        <w:tcW w:w="1342" w:type="dxa"/>
                        <w:tcBorders>
                          <w:top w:val="nil"/>
                          <w:left w:val="nil"/>
                          <w:bottom w:val="nil"/>
                          <w:right w:val="nil"/>
                        </w:tcBorders>
                        <w:shd w:val="clear" w:color="auto" w:fill="auto"/>
                        <w:noWrap/>
                        <w:vAlign w:val="bottom"/>
                        <w:hideMark/>
                      </w:tcPr>
                      <w:p w:rsidR="001935CD" w:rsidRPr="00D357FA" w:rsidRDefault="001935CD" w:rsidP="00C41AB4">
                        <w:pP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1990 – 1995</w:t>
                        </w:r>
                      </w:p>
                    </w:tc>
                    <w:tc>
                      <w:tcPr>
                        <w:tcW w:w="1540" w:type="dxa"/>
                        <w:tcBorders>
                          <w:top w:val="nil"/>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7.9</w:t>
                        </w:r>
                      </w:p>
                    </w:tc>
                    <w:tc>
                      <w:tcPr>
                        <w:tcW w:w="2080" w:type="dxa"/>
                        <w:tcBorders>
                          <w:top w:val="nil"/>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6.0</w:t>
                        </w:r>
                      </w:p>
                    </w:tc>
                    <w:tc>
                      <w:tcPr>
                        <w:tcW w:w="1200" w:type="dxa"/>
                        <w:tcBorders>
                          <w:top w:val="nil"/>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 xml:space="preserve">  15.3*</w:t>
                        </w:r>
                      </w:p>
                    </w:tc>
                    <w:tc>
                      <w:tcPr>
                        <w:tcW w:w="1480" w:type="dxa"/>
                        <w:tcBorders>
                          <w:top w:val="nil"/>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52.7</w:t>
                        </w:r>
                        <w:r w:rsidR="00D357FA">
                          <w:rPr>
                            <w:rFonts w:ascii="Calibri" w:eastAsia="Times New Roman" w:hAnsi="Calibri"/>
                            <w:b/>
                            <w:color w:val="000000"/>
                            <w:sz w:val="22"/>
                            <w:szCs w:val="22"/>
                            <w:lang w:val="en-US"/>
                          </w:rPr>
                          <w:t>*</w:t>
                        </w:r>
                      </w:p>
                    </w:tc>
                  </w:tr>
                  <w:tr w:rsidR="001935CD" w:rsidRPr="000718E2" w:rsidTr="00C41AB4">
                    <w:trPr>
                      <w:trHeight w:val="300"/>
                    </w:trPr>
                    <w:tc>
                      <w:tcPr>
                        <w:tcW w:w="1342" w:type="dxa"/>
                        <w:tcBorders>
                          <w:top w:val="nil"/>
                          <w:left w:val="nil"/>
                          <w:bottom w:val="nil"/>
                          <w:right w:val="nil"/>
                        </w:tcBorders>
                        <w:shd w:val="clear" w:color="auto" w:fill="auto"/>
                        <w:noWrap/>
                        <w:vAlign w:val="bottom"/>
                        <w:hideMark/>
                      </w:tcPr>
                      <w:p w:rsidR="001935CD" w:rsidRPr="008A4C05" w:rsidRDefault="001935CD" w:rsidP="00C41AB4">
                        <w:pP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 xml:space="preserve">1996 </w:t>
                        </w:r>
                        <w:r>
                          <w:rPr>
                            <w:rFonts w:ascii="Calibri" w:eastAsia="Times New Roman" w:hAnsi="Calibri"/>
                            <w:color w:val="000000"/>
                            <w:sz w:val="22"/>
                            <w:szCs w:val="22"/>
                            <w:lang w:val="en-US"/>
                          </w:rPr>
                          <w:t>–</w:t>
                        </w:r>
                        <w:r w:rsidRPr="008A4C05">
                          <w:rPr>
                            <w:rFonts w:ascii="Calibri" w:eastAsia="Times New Roman" w:hAnsi="Calibri"/>
                            <w:color w:val="000000"/>
                            <w:sz w:val="22"/>
                            <w:szCs w:val="22"/>
                            <w:lang w:val="en-US"/>
                          </w:rPr>
                          <w:t xml:space="preserve"> 1998</w:t>
                        </w:r>
                      </w:p>
                    </w:tc>
                    <w:tc>
                      <w:tcPr>
                        <w:tcW w:w="1540" w:type="dxa"/>
                        <w:tcBorders>
                          <w:top w:val="nil"/>
                          <w:left w:val="nil"/>
                          <w:bottom w:val="nil"/>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5.8</w:t>
                        </w:r>
                      </w:p>
                    </w:tc>
                    <w:tc>
                      <w:tcPr>
                        <w:tcW w:w="2080" w:type="dxa"/>
                        <w:tcBorders>
                          <w:top w:val="nil"/>
                          <w:left w:val="nil"/>
                          <w:bottom w:val="nil"/>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4.3</w:t>
                        </w:r>
                      </w:p>
                    </w:tc>
                    <w:tc>
                      <w:tcPr>
                        <w:tcW w:w="1200" w:type="dxa"/>
                        <w:tcBorders>
                          <w:top w:val="nil"/>
                          <w:left w:val="nil"/>
                          <w:bottom w:val="nil"/>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16.0</w:t>
                        </w:r>
                      </w:p>
                    </w:tc>
                    <w:tc>
                      <w:tcPr>
                        <w:tcW w:w="1480" w:type="dxa"/>
                        <w:tcBorders>
                          <w:top w:val="nil"/>
                          <w:left w:val="nil"/>
                          <w:bottom w:val="nil"/>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53.2</w:t>
                        </w:r>
                      </w:p>
                    </w:tc>
                  </w:tr>
                  <w:tr w:rsidR="001935CD" w:rsidRPr="000718E2" w:rsidTr="00C41AB4">
                    <w:trPr>
                      <w:trHeight w:val="300"/>
                    </w:trPr>
                    <w:tc>
                      <w:tcPr>
                        <w:tcW w:w="1342" w:type="dxa"/>
                        <w:tcBorders>
                          <w:top w:val="nil"/>
                          <w:left w:val="nil"/>
                          <w:bottom w:val="nil"/>
                          <w:right w:val="nil"/>
                        </w:tcBorders>
                        <w:shd w:val="clear" w:color="auto" w:fill="auto"/>
                        <w:noWrap/>
                        <w:vAlign w:val="bottom"/>
                        <w:hideMark/>
                      </w:tcPr>
                      <w:p w:rsidR="001935CD" w:rsidRPr="008A4C05" w:rsidRDefault="001935CD" w:rsidP="00C41AB4">
                        <w:pP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 xml:space="preserve">1999 </w:t>
                        </w:r>
                        <w:r>
                          <w:rPr>
                            <w:rFonts w:ascii="Calibri" w:eastAsia="Times New Roman" w:hAnsi="Calibri"/>
                            <w:color w:val="000000"/>
                            <w:sz w:val="22"/>
                            <w:szCs w:val="22"/>
                            <w:lang w:val="en-US"/>
                          </w:rPr>
                          <w:t>–</w:t>
                        </w:r>
                        <w:r w:rsidRPr="008A4C05">
                          <w:rPr>
                            <w:rFonts w:ascii="Calibri" w:eastAsia="Times New Roman" w:hAnsi="Calibri"/>
                            <w:color w:val="000000"/>
                            <w:sz w:val="22"/>
                            <w:szCs w:val="22"/>
                            <w:lang w:val="en-US"/>
                          </w:rPr>
                          <w:t xml:space="preserve"> 2007</w:t>
                        </w:r>
                      </w:p>
                    </w:tc>
                    <w:tc>
                      <w:tcPr>
                        <w:tcW w:w="1540" w:type="dxa"/>
                        <w:tcBorders>
                          <w:top w:val="nil"/>
                          <w:left w:val="nil"/>
                          <w:bottom w:val="nil"/>
                          <w:right w:val="nil"/>
                        </w:tcBorders>
                        <w:shd w:val="clear" w:color="auto" w:fill="auto"/>
                        <w:noWrap/>
                        <w:vAlign w:val="center"/>
                        <w:hideMark/>
                      </w:tcPr>
                      <w:p w:rsidR="001935CD" w:rsidRPr="001935CD" w:rsidRDefault="007A6673" w:rsidP="00C41AB4">
                        <w:pPr>
                          <w:jc w:val="center"/>
                          <w:rPr>
                            <w:rFonts w:ascii="Calibri" w:eastAsia="Times New Roman" w:hAnsi="Calibri"/>
                            <w:color w:val="000000"/>
                            <w:sz w:val="22"/>
                            <w:szCs w:val="22"/>
                            <w:lang w:val="en-US"/>
                          </w:rPr>
                        </w:pPr>
                        <w:r>
                          <w:rPr>
                            <w:rFonts w:ascii="Calibri" w:eastAsia="Times New Roman" w:hAnsi="Calibri"/>
                            <w:color w:val="000000"/>
                            <w:sz w:val="22"/>
                            <w:szCs w:val="22"/>
                            <w:lang w:val="en-US"/>
                          </w:rPr>
                          <w:t>3.9</w:t>
                        </w:r>
                      </w:p>
                    </w:tc>
                    <w:tc>
                      <w:tcPr>
                        <w:tcW w:w="2080" w:type="dxa"/>
                        <w:tcBorders>
                          <w:top w:val="nil"/>
                          <w:left w:val="nil"/>
                          <w:bottom w:val="nil"/>
                          <w:right w:val="nil"/>
                        </w:tcBorders>
                        <w:shd w:val="clear" w:color="auto" w:fill="auto"/>
                        <w:noWrap/>
                        <w:vAlign w:val="center"/>
                        <w:hideMark/>
                      </w:tcPr>
                      <w:p w:rsidR="001935CD" w:rsidRPr="001935CD" w:rsidRDefault="007A6673" w:rsidP="00C41AB4">
                        <w:pPr>
                          <w:jc w:val="center"/>
                          <w:rPr>
                            <w:rFonts w:ascii="Calibri" w:eastAsia="Times New Roman" w:hAnsi="Calibri"/>
                            <w:color w:val="000000"/>
                            <w:sz w:val="22"/>
                            <w:szCs w:val="22"/>
                            <w:lang w:val="en-US"/>
                          </w:rPr>
                        </w:pPr>
                        <w:r w:rsidRPr="007A6673">
                          <w:rPr>
                            <w:rFonts w:ascii="Calibri" w:eastAsia="Times New Roman" w:hAnsi="Calibri"/>
                            <w:color w:val="000000"/>
                            <w:sz w:val="22"/>
                            <w:szCs w:val="22"/>
                            <w:lang w:val="en-US"/>
                          </w:rPr>
                          <w:t>2.8</w:t>
                        </w:r>
                      </w:p>
                    </w:tc>
                    <w:tc>
                      <w:tcPr>
                        <w:tcW w:w="1200" w:type="dxa"/>
                        <w:tcBorders>
                          <w:top w:val="nil"/>
                          <w:left w:val="nil"/>
                          <w:bottom w:val="nil"/>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15.4</w:t>
                        </w:r>
                      </w:p>
                    </w:tc>
                    <w:tc>
                      <w:tcPr>
                        <w:tcW w:w="1480" w:type="dxa"/>
                        <w:tcBorders>
                          <w:top w:val="nil"/>
                          <w:left w:val="nil"/>
                          <w:bottom w:val="nil"/>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52.7</w:t>
                        </w:r>
                      </w:p>
                    </w:tc>
                  </w:tr>
                  <w:tr w:rsidR="001935CD" w:rsidRPr="000718E2" w:rsidTr="00C41AB4">
                    <w:trPr>
                      <w:trHeight w:val="300"/>
                    </w:trPr>
                    <w:tc>
                      <w:tcPr>
                        <w:tcW w:w="1342" w:type="dxa"/>
                        <w:tcBorders>
                          <w:top w:val="nil"/>
                          <w:left w:val="nil"/>
                          <w:bottom w:val="nil"/>
                          <w:right w:val="nil"/>
                        </w:tcBorders>
                        <w:shd w:val="clear" w:color="auto" w:fill="auto"/>
                        <w:noWrap/>
                        <w:vAlign w:val="bottom"/>
                        <w:hideMark/>
                      </w:tcPr>
                      <w:p w:rsidR="001935CD" w:rsidRPr="00D357FA" w:rsidRDefault="001935CD" w:rsidP="00C41AB4">
                        <w:pP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2008 – 2013</w:t>
                        </w:r>
                      </w:p>
                    </w:tc>
                    <w:tc>
                      <w:tcPr>
                        <w:tcW w:w="1540" w:type="dxa"/>
                        <w:tcBorders>
                          <w:top w:val="nil"/>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3.9</w:t>
                        </w:r>
                      </w:p>
                    </w:tc>
                    <w:tc>
                      <w:tcPr>
                        <w:tcW w:w="2080" w:type="dxa"/>
                        <w:tcBorders>
                          <w:top w:val="nil"/>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2.9</w:t>
                        </w:r>
                      </w:p>
                    </w:tc>
                    <w:tc>
                      <w:tcPr>
                        <w:tcW w:w="1200" w:type="dxa"/>
                        <w:tcBorders>
                          <w:top w:val="nil"/>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12.3</w:t>
                        </w:r>
                      </w:p>
                    </w:tc>
                    <w:tc>
                      <w:tcPr>
                        <w:tcW w:w="1480" w:type="dxa"/>
                        <w:tcBorders>
                          <w:top w:val="nil"/>
                          <w:left w:val="nil"/>
                          <w:bottom w:val="nil"/>
                          <w:right w:val="nil"/>
                        </w:tcBorders>
                        <w:shd w:val="clear" w:color="auto" w:fill="auto"/>
                        <w:noWrap/>
                        <w:vAlign w:val="center"/>
                        <w:hideMark/>
                      </w:tcPr>
                      <w:p w:rsidR="001935CD" w:rsidRPr="00D357FA" w:rsidRDefault="001935CD" w:rsidP="00C41AB4">
                        <w:pPr>
                          <w:jc w:val="center"/>
                          <w:rPr>
                            <w:rFonts w:ascii="Calibri" w:eastAsia="Times New Roman" w:hAnsi="Calibri"/>
                            <w:b/>
                            <w:color w:val="000000"/>
                            <w:sz w:val="22"/>
                            <w:szCs w:val="22"/>
                            <w:lang w:val="en-US"/>
                          </w:rPr>
                        </w:pPr>
                        <w:r w:rsidRPr="00D357FA">
                          <w:rPr>
                            <w:rFonts w:ascii="Calibri" w:eastAsia="Times New Roman" w:hAnsi="Calibri"/>
                            <w:b/>
                            <w:color w:val="000000"/>
                            <w:sz w:val="22"/>
                            <w:szCs w:val="22"/>
                            <w:lang w:val="en-US"/>
                          </w:rPr>
                          <w:t>49.2</w:t>
                        </w:r>
                      </w:p>
                    </w:tc>
                  </w:tr>
                  <w:tr w:rsidR="001935CD" w:rsidRPr="000718E2" w:rsidTr="00C41AB4">
                    <w:trPr>
                      <w:trHeight w:val="300"/>
                    </w:trPr>
                    <w:tc>
                      <w:tcPr>
                        <w:tcW w:w="1342" w:type="dxa"/>
                        <w:tcBorders>
                          <w:top w:val="nil"/>
                          <w:left w:val="nil"/>
                          <w:bottom w:val="single" w:sz="4" w:space="0" w:color="auto"/>
                          <w:right w:val="nil"/>
                        </w:tcBorders>
                        <w:shd w:val="clear" w:color="auto" w:fill="auto"/>
                        <w:noWrap/>
                        <w:vAlign w:val="bottom"/>
                        <w:hideMark/>
                      </w:tcPr>
                      <w:p w:rsidR="001935CD" w:rsidRPr="008A4C05" w:rsidRDefault="001935CD" w:rsidP="00C41AB4">
                        <w:pP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 xml:space="preserve">1990 </w:t>
                        </w:r>
                        <w:r>
                          <w:rPr>
                            <w:rFonts w:ascii="Calibri" w:eastAsia="Times New Roman" w:hAnsi="Calibri"/>
                            <w:color w:val="000000"/>
                            <w:sz w:val="22"/>
                            <w:szCs w:val="22"/>
                            <w:lang w:val="en-US"/>
                          </w:rPr>
                          <w:t>–</w:t>
                        </w:r>
                        <w:r w:rsidRPr="008A4C05">
                          <w:rPr>
                            <w:rFonts w:ascii="Calibri" w:eastAsia="Times New Roman" w:hAnsi="Calibri"/>
                            <w:color w:val="000000"/>
                            <w:sz w:val="22"/>
                            <w:szCs w:val="22"/>
                            <w:lang w:val="en-US"/>
                          </w:rPr>
                          <w:t xml:space="preserve"> 2013</w:t>
                        </w:r>
                      </w:p>
                    </w:tc>
                    <w:tc>
                      <w:tcPr>
                        <w:tcW w:w="1540" w:type="dxa"/>
                        <w:tcBorders>
                          <w:top w:val="nil"/>
                          <w:left w:val="nil"/>
                          <w:bottom w:val="single" w:sz="4" w:space="0" w:color="auto"/>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5.1</w:t>
                        </w:r>
                      </w:p>
                    </w:tc>
                    <w:tc>
                      <w:tcPr>
                        <w:tcW w:w="2080" w:type="dxa"/>
                        <w:tcBorders>
                          <w:top w:val="nil"/>
                          <w:left w:val="nil"/>
                          <w:bottom w:val="single" w:sz="4" w:space="0" w:color="auto"/>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3.8</w:t>
                        </w:r>
                      </w:p>
                    </w:tc>
                    <w:tc>
                      <w:tcPr>
                        <w:tcW w:w="1200" w:type="dxa"/>
                        <w:tcBorders>
                          <w:top w:val="nil"/>
                          <w:left w:val="nil"/>
                          <w:bottom w:val="single" w:sz="4" w:space="0" w:color="auto"/>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14.7</w:t>
                        </w:r>
                      </w:p>
                    </w:tc>
                    <w:tc>
                      <w:tcPr>
                        <w:tcW w:w="1480" w:type="dxa"/>
                        <w:tcBorders>
                          <w:top w:val="nil"/>
                          <w:left w:val="nil"/>
                          <w:bottom w:val="single" w:sz="4" w:space="0" w:color="auto"/>
                          <w:right w:val="nil"/>
                        </w:tcBorders>
                        <w:shd w:val="clear" w:color="auto" w:fill="auto"/>
                        <w:noWrap/>
                        <w:vAlign w:val="center"/>
                        <w:hideMark/>
                      </w:tcPr>
                      <w:p w:rsidR="001935CD" w:rsidRPr="008A4C05" w:rsidRDefault="001935CD" w:rsidP="00C41AB4">
                        <w:pPr>
                          <w:jc w:val="center"/>
                          <w:rPr>
                            <w:rFonts w:ascii="Calibri" w:eastAsia="Times New Roman" w:hAnsi="Calibri"/>
                            <w:color w:val="000000"/>
                            <w:sz w:val="22"/>
                            <w:szCs w:val="22"/>
                            <w:lang w:val="en-US"/>
                          </w:rPr>
                        </w:pPr>
                        <w:r w:rsidRPr="008A4C05">
                          <w:rPr>
                            <w:rFonts w:ascii="Calibri" w:eastAsia="Times New Roman" w:hAnsi="Calibri"/>
                            <w:color w:val="000000"/>
                            <w:sz w:val="22"/>
                            <w:szCs w:val="22"/>
                            <w:lang w:val="en-US"/>
                          </w:rPr>
                          <w:t>51.9</w:t>
                        </w:r>
                      </w:p>
                    </w:tc>
                  </w:tr>
                  <w:tr w:rsidR="001935CD" w:rsidRPr="00610291" w:rsidTr="00C41AB4">
                    <w:trPr>
                      <w:trHeight w:val="300"/>
                    </w:trPr>
                    <w:tc>
                      <w:tcPr>
                        <w:tcW w:w="7642" w:type="dxa"/>
                        <w:gridSpan w:val="5"/>
                        <w:vMerge w:val="restart"/>
                        <w:tcBorders>
                          <w:top w:val="nil"/>
                          <w:left w:val="nil"/>
                          <w:bottom w:val="nil"/>
                          <w:right w:val="nil"/>
                        </w:tcBorders>
                        <w:shd w:val="clear" w:color="auto" w:fill="auto"/>
                        <w:vAlign w:val="bottom"/>
                        <w:hideMark/>
                      </w:tcPr>
                      <w:p w:rsidR="001935CD" w:rsidRPr="001D0973" w:rsidRDefault="001935CD" w:rsidP="001D0973">
                        <w:pPr>
                          <w:jc w:val="both"/>
                          <w:rPr>
                            <w:rFonts w:eastAsia="Times New Roman"/>
                            <w:color w:val="000000"/>
                            <w:lang w:val="en-US"/>
                          </w:rPr>
                        </w:pPr>
                        <w:r w:rsidRPr="001D0973">
                          <w:rPr>
                            <w:rFonts w:eastAsia="Times New Roman"/>
                            <w:b/>
                            <w:color w:val="000000"/>
                            <w:lang w:val="en-US"/>
                          </w:rPr>
                          <w:t>Sources</w:t>
                        </w:r>
                        <w:r w:rsidRPr="001D0973">
                          <w:rPr>
                            <w:rFonts w:eastAsia="Times New Roman"/>
                            <w:color w:val="000000"/>
                            <w:lang w:val="en-US"/>
                          </w:rPr>
                          <w:t>: In Ffrench-Davis (2014, cap. XI). Columns 1 and 2 are based on</w:t>
                        </w:r>
                        <w:r w:rsidR="001D0973">
                          <w:rPr>
                            <w:rFonts w:eastAsia="Times New Roman"/>
                            <w:color w:val="000000"/>
                            <w:lang w:val="en-US"/>
                          </w:rPr>
                          <w:t xml:space="preserve"> National </w:t>
                        </w:r>
                      </w:p>
                      <w:p w:rsidR="001D0973" w:rsidRDefault="001935CD" w:rsidP="001D0973">
                        <w:pPr>
                          <w:jc w:val="both"/>
                          <w:rPr>
                            <w:rFonts w:eastAsia="Times New Roman"/>
                            <w:color w:val="000000"/>
                            <w:lang w:val="en-US"/>
                          </w:rPr>
                        </w:pPr>
                        <w:r w:rsidRPr="001D0973">
                          <w:rPr>
                            <w:rFonts w:eastAsia="Times New Roman"/>
                            <w:color w:val="000000"/>
                            <w:lang w:val="en-US"/>
                          </w:rPr>
                          <w:t xml:space="preserve"> Accounts from the Central Bank, in 2003 constant prices up to 2005; since </w:t>
                        </w:r>
                        <w:r w:rsidR="001D0973">
                          <w:rPr>
                            <w:rFonts w:eastAsia="Times New Roman"/>
                            <w:color w:val="000000"/>
                            <w:lang w:val="en-US"/>
                          </w:rPr>
                          <w:t xml:space="preserve">2006, </w:t>
                        </w:r>
                        <w:r w:rsidRPr="001D0973">
                          <w:rPr>
                            <w:rFonts w:eastAsia="Times New Roman"/>
                            <w:color w:val="000000"/>
                            <w:lang w:val="en-US"/>
                          </w:rPr>
                          <w:t xml:space="preserve">rates </w:t>
                        </w:r>
                      </w:p>
                      <w:p w:rsidR="001D0973" w:rsidRDefault="001935CD" w:rsidP="001D0973">
                        <w:pPr>
                          <w:jc w:val="both"/>
                          <w:rPr>
                            <w:rFonts w:eastAsia="Times New Roman"/>
                            <w:color w:val="000000"/>
                            <w:lang w:val="en-US"/>
                          </w:rPr>
                        </w:pPr>
                        <w:r w:rsidRPr="001D0973">
                          <w:rPr>
                            <w:rFonts w:eastAsia="Times New Roman"/>
                            <w:color w:val="000000"/>
                            <w:lang w:val="en-US"/>
                          </w:rPr>
                          <w:t xml:space="preserve">of </w:t>
                        </w:r>
                        <w:r w:rsidR="00333DC7" w:rsidRPr="001D0973">
                          <w:rPr>
                            <w:rFonts w:eastAsia="Times New Roman"/>
                            <w:color w:val="000000"/>
                            <w:lang w:val="en-US"/>
                          </w:rPr>
                          <w:t xml:space="preserve">change </w:t>
                        </w:r>
                        <w:r w:rsidR="00333DC7" w:rsidRPr="001D0973">
                          <w:rPr>
                            <w:lang w:val="en-US"/>
                          </w:rPr>
                          <w:t>from</w:t>
                        </w:r>
                        <w:r w:rsidRPr="001D0973">
                          <w:rPr>
                            <w:lang w:val="en-US"/>
                          </w:rPr>
                          <w:t xml:space="preserve"> the chained base, reference 2008 series.</w:t>
                        </w:r>
                        <w:r w:rsidRPr="001D0973">
                          <w:rPr>
                            <w:rFonts w:eastAsia="Times New Roman"/>
                            <w:color w:val="000000"/>
                            <w:lang w:val="en-US"/>
                          </w:rPr>
                          <w:t xml:space="preserve"> Columns (3) and (4) are based</w:t>
                        </w:r>
                      </w:p>
                      <w:p w:rsidR="004971AD" w:rsidRDefault="001935CD" w:rsidP="004971AD">
                        <w:pPr>
                          <w:jc w:val="both"/>
                          <w:rPr>
                            <w:rFonts w:eastAsia="Times New Roman"/>
                            <w:color w:val="000000"/>
                            <w:lang w:val="en-US"/>
                          </w:rPr>
                        </w:pPr>
                        <w:r w:rsidRPr="001D0973">
                          <w:rPr>
                            <w:rFonts w:eastAsia="Times New Roman"/>
                            <w:color w:val="000000"/>
                            <w:lang w:val="en-US"/>
                          </w:rPr>
                          <w:t xml:space="preserve">on the University of Chile Employment Survey for Santiago. * A </w:t>
                        </w:r>
                        <w:r w:rsidR="00D357FA" w:rsidRPr="001D0973">
                          <w:rPr>
                            <w:rFonts w:eastAsia="Times New Roman"/>
                            <w:color w:val="000000"/>
                            <w:lang w:val="en-US"/>
                          </w:rPr>
                          <w:t xml:space="preserve"> 13.7 </w:t>
                        </w:r>
                        <w:r w:rsidRPr="001D0973">
                          <w:rPr>
                            <w:rFonts w:eastAsia="Times New Roman"/>
                            <w:color w:val="000000"/>
                            <w:lang w:val="en-US"/>
                          </w:rPr>
                          <w:t>ratio and a 50.9</w:t>
                        </w:r>
                      </w:p>
                      <w:p w:rsidR="001935CD" w:rsidRPr="001D0973" w:rsidRDefault="001935CD" w:rsidP="004971AD">
                        <w:pPr>
                          <w:jc w:val="both"/>
                          <w:rPr>
                            <w:rFonts w:eastAsia="Times New Roman"/>
                            <w:color w:val="000000"/>
                            <w:lang w:val="en-US"/>
                          </w:rPr>
                        </w:pPr>
                        <w:r w:rsidRPr="001D0973">
                          <w:rPr>
                            <w:rFonts w:eastAsia="Times New Roman"/>
                            <w:color w:val="000000"/>
                            <w:lang w:val="en-US"/>
                          </w:rPr>
                          <w:t>Gini</w:t>
                        </w:r>
                        <w:r w:rsidR="00D357FA" w:rsidRPr="001D0973">
                          <w:rPr>
                            <w:rFonts w:eastAsia="Times New Roman"/>
                            <w:color w:val="000000"/>
                            <w:lang w:val="en-US"/>
                          </w:rPr>
                          <w:t xml:space="preserve"> in 1992-95</w:t>
                        </w:r>
                        <w:r w:rsidRPr="001D0973">
                          <w:rPr>
                            <w:rFonts w:eastAsia="Times New Roman"/>
                            <w:color w:val="000000"/>
                            <w:lang w:val="en-US"/>
                          </w:rPr>
                          <w:t>.</w:t>
                        </w:r>
                      </w:p>
                    </w:tc>
                  </w:tr>
                  <w:tr w:rsidR="001935CD" w:rsidRPr="00610291" w:rsidTr="00C41AB4">
                    <w:trPr>
                      <w:trHeight w:val="615"/>
                    </w:trPr>
                    <w:tc>
                      <w:tcPr>
                        <w:tcW w:w="7642" w:type="dxa"/>
                        <w:gridSpan w:val="5"/>
                        <w:vMerge/>
                        <w:tcBorders>
                          <w:top w:val="nil"/>
                          <w:left w:val="nil"/>
                          <w:bottom w:val="nil"/>
                          <w:right w:val="nil"/>
                        </w:tcBorders>
                        <w:vAlign w:val="center"/>
                        <w:hideMark/>
                      </w:tcPr>
                      <w:p w:rsidR="00A055AE" w:rsidRDefault="00A055AE" w:rsidP="001D0973">
                        <w:pPr>
                          <w:jc w:val="both"/>
                          <w:rPr>
                            <w:rFonts w:eastAsia="Times New Roman"/>
                            <w:color w:val="000000"/>
                            <w:lang w:val="en-US"/>
                          </w:rPr>
                        </w:pPr>
                      </w:p>
                    </w:tc>
                  </w:tr>
                </w:tbl>
                <w:p w:rsidR="00A055AE" w:rsidRDefault="00A055AE" w:rsidP="001D0973">
                  <w:pPr>
                    <w:jc w:val="both"/>
                    <w:rPr>
                      <w:rFonts w:eastAsia="Times New Roman"/>
                      <w:lang w:val="en-US"/>
                    </w:rPr>
                  </w:pPr>
                </w:p>
                <w:p w:rsidR="001935CD" w:rsidRPr="008A4C05" w:rsidRDefault="001935CD" w:rsidP="00C41AB4">
                  <w:pPr>
                    <w:rPr>
                      <w:rFonts w:eastAsia="Times New Roman"/>
                      <w:lang w:val="en-US"/>
                    </w:rPr>
                  </w:pPr>
                </w:p>
                <w:p w:rsidR="001935CD" w:rsidRPr="008A4C05" w:rsidRDefault="001935CD" w:rsidP="00C41AB4">
                  <w:pPr>
                    <w:rPr>
                      <w:rFonts w:eastAsia="Times New Roman"/>
                      <w:lang w:val="en-US"/>
                    </w:rPr>
                  </w:pPr>
                </w:p>
                <w:p w:rsidR="001935CD" w:rsidRPr="008A4C05" w:rsidRDefault="001935CD" w:rsidP="00C41AB4">
                  <w:pPr>
                    <w:rPr>
                      <w:rFonts w:eastAsia="Times New Roman"/>
                      <w:lang w:val="en-US"/>
                    </w:rPr>
                  </w:pPr>
                </w:p>
              </w:tc>
            </w:tr>
            <w:tr w:rsidR="001D0973" w:rsidRPr="00610291" w:rsidTr="00C41AB4">
              <w:trPr>
                <w:trHeight w:val="300"/>
                <w:jc w:val="center"/>
              </w:trPr>
              <w:tc>
                <w:tcPr>
                  <w:tcW w:w="7336" w:type="dxa"/>
                  <w:tcBorders>
                    <w:top w:val="nil"/>
                    <w:left w:val="nil"/>
                    <w:bottom w:val="nil"/>
                    <w:right w:val="nil"/>
                  </w:tcBorders>
                  <w:shd w:val="clear" w:color="auto" w:fill="auto"/>
                  <w:noWrap/>
                  <w:vAlign w:val="bottom"/>
                  <w:hideMark/>
                </w:tcPr>
                <w:p w:rsidR="001D0973" w:rsidRPr="002A3AB4" w:rsidRDefault="001D0973" w:rsidP="00C41AB4">
                  <w:pPr>
                    <w:rPr>
                      <w:rFonts w:eastAsia="Times New Roman"/>
                      <w:lang w:val="en-US"/>
                    </w:rPr>
                  </w:pPr>
                </w:p>
              </w:tc>
            </w:tr>
            <w:tr w:rsidR="001935CD" w:rsidRPr="00610291" w:rsidTr="00C41AB4">
              <w:trPr>
                <w:trHeight w:val="300"/>
                <w:jc w:val="center"/>
              </w:trPr>
              <w:tc>
                <w:tcPr>
                  <w:tcW w:w="7336" w:type="dxa"/>
                  <w:tcBorders>
                    <w:top w:val="nil"/>
                    <w:left w:val="nil"/>
                    <w:bottom w:val="nil"/>
                    <w:right w:val="nil"/>
                  </w:tcBorders>
                  <w:shd w:val="clear" w:color="auto" w:fill="auto"/>
                  <w:noWrap/>
                  <w:vAlign w:val="bottom"/>
                </w:tcPr>
                <w:p w:rsidR="001935CD" w:rsidRPr="00E927F3" w:rsidRDefault="001935CD" w:rsidP="00C41AB4">
                  <w:pPr>
                    <w:rPr>
                      <w:rFonts w:eastAsia="Times New Roman"/>
                      <w:lang w:val="en-US"/>
                    </w:rPr>
                  </w:pPr>
                </w:p>
              </w:tc>
            </w:tr>
            <w:tr w:rsidR="001935CD" w:rsidRPr="00610291" w:rsidTr="00C41AB4">
              <w:trPr>
                <w:trHeight w:val="300"/>
                <w:jc w:val="center"/>
              </w:trPr>
              <w:tc>
                <w:tcPr>
                  <w:tcW w:w="7336" w:type="dxa"/>
                  <w:tcBorders>
                    <w:top w:val="nil"/>
                    <w:left w:val="nil"/>
                    <w:bottom w:val="nil"/>
                    <w:right w:val="nil"/>
                  </w:tcBorders>
                  <w:shd w:val="clear" w:color="auto" w:fill="auto"/>
                  <w:noWrap/>
                  <w:vAlign w:val="bottom"/>
                </w:tcPr>
                <w:p w:rsidR="001935CD" w:rsidRPr="00E927F3" w:rsidRDefault="001935CD" w:rsidP="00C41AB4">
                  <w:pPr>
                    <w:rPr>
                      <w:rFonts w:eastAsia="Times New Roman"/>
                      <w:lang w:val="en-US"/>
                    </w:rPr>
                  </w:pPr>
                </w:p>
              </w:tc>
            </w:tr>
          </w:tbl>
          <w:p w:rsidR="001935CD" w:rsidRPr="00AB0BA7" w:rsidRDefault="001935CD" w:rsidP="00C41AB4">
            <w:pPr>
              <w:rPr>
                <w:rFonts w:asciiTheme="minorHAnsi" w:eastAsia="Times New Roman" w:hAnsiTheme="minorHAnsi" w:cstheme="minorHAnsi"/>
                <w:lang w:val="en-US"/>
              </w:rPr>
            </w:pPr>
          </w:p>
        </w:tc>
      </w:tr>
    </w:tbl>
    <w:p w:rsidR="001935CD" w:rsidRPr="00AB0BA7" w:rsidRDefault="001935CD" w:rsidP="001935CD">
      <w:pPr>
        <w:rPr>
          <w:rFonts w:asciiTheme="minorHAnsi" w:eastAsia="Times New Roman" w:hAnsiTheme="minorHAnsi" w:cstheme="minorHAnsi"/>
          <w:lang w:val="en-US"/>
        </w:rPr>
      </w:pPr>
    </w:p>
    <w:p w:rsidR="001935CD" w:rsidRPr="00AB0BA7" w:rsidRDefault="001935CD" w:rsidP="001935CD">
      <w:pPr>
        <w:rPr>
          <w:rFonts w:eastAsia="Times New Roman"/>
          <w:szCs w:val="24"/>
          <w:lang w:val="en-US"/>
        </w:rPr>
      </w:pPr>
    </w:p>
    <w:p w:rsidR="001935CD" w:rsidRPr="005C750D" w:rsidRDefault="001935CD" w:rsidP="001935CD">
      <w:pPr>
        <w:ind w:left="2832"/>
        <w:rPr>
          <w:sz w:val="24"/>
          <w:szCs w:val="24"/>
          <w:lang w:val="en-US"/>
        </w:rPr>
      </w:pPr>
      <w:r w:rsidRPr="005C750D">
        <w:rPr>
          <w:sz w:val="24"/>
          <w:szCs w:val="24"/>
          <w:lang w:val="en-US"/>
        </w:rPr>
        <w:t>Table 2</w:t>
      </w:r>
    </w:p>
    <w:tbl>
      <w:tblPr>
        <w:tblW w:w="7500" w:type="dxa"/>
        <w:tblInd w:w="93" w:type="dxa"/>
        <w:tblLook w:val="0600" w:firstRow="0" w:lastRow="0" w:firstColumn="0" w:lastColumn="0" w:noHBand="1" w:noVBand="1"/>
      </w:tblPr>
      <w:tblGrid>
        <w:gridCol w:w="2220"/>
        <w:gridCol w:w="1600"/>
        <w:gridCol w:w="1900"/>
        <w:gridCol w:w="1780"/>
      </w:tblGrid>
      <w:tr w:rsidR="001935CD" w:rsidRPr="00610291" w:rsidTr="00C41AB4">
        <w:trPr>
          <w:trHeight w:val="705"/>
        </w:trPr>
        <w:tc>
          <w:tcPr>
            <w:tcW w:w="7500" w:type="dxa"/>
            <w:gridSpan w:val="4"/>
            <w:tcBorders>
              <w:top w:val="nil"/>
              <w:left w:val="nil"/>
              <w:bottom w:val="nil"/>
              <w:right w:val="nil"/>
            </w:tcBorders>
            <w:shd w:val="clear" w:color="auto" w:fill="auto"/>
            <w:vAlign w:val="bottom"/>
            <w:hideMark/>
          </w:tcPr>
          <w:p w:rsidR="001935CD" w:rsidRPr="002F53A4" w:rsidRDefault="001935CD" w:rsidP="00C41AB4">
            <w:pPr>
              <w:jc w:val="center"/>
              <w:rPr>
                <w:rFonts w:eastAsia="Times New Roman"/>
                <w:b/>
                <w:bCs/>
                <w:color w:val="000000"/>
                <w:sz w:val="24"/>
                <w:szCs w:val="24"/>
                <w:lang w:val="en-US"/>
              </w:rPr>
            </w:pPr>
            <w:r w:rsidRPr="002F53A4">
              <w:rPr>
                <w:rFonts w:eastAsia="Times New Roman"/>
                <w:b/>
                <w:bCs/>
                <w:color w:val="000000"/>
                <w:sz w:val="24"/>
                <w:szCs w:val="24"/>
                <w:lang w:val="en-US"/>
              </w:rPr>
              <w:t>GDPpc (at ppp): Chile as  % of USA, G-</w:t>
            </w:r>
            <w:r>
              <w:rPr>
                <w:rFonts w:eastAsia="Times New Roman"/>
                <w:b/>
                <w:bCs/>
                <w:color w:val="000000"/>
                <w:sz w:val="24"/>
                <w:szCs w:val="24"/>
                <w:lang w:val="en-US"/>
              </w:rPr>
              <w:t>7</w:t>
            </w:r>
            <w:r w:rsidRPr="002F53A4">
              <w:rPr>
                <w:rFonts w:eastAsia="Times New Roman"/>
                <w:b/>
                <w:bCs/>
                <w:color w:val="000000"/>
                <w:sz w:val="24"/>
                <w:szCs w:val="24"/>
                <w:lang w:val="en-US"/>
              </w:rPr>
              <w:t xml:space="preserve"> and L</w:t>
            </w:r>
            <w:r>
              <w:rPr>
                <w:rFonts w:eastAsia="Times New Roman"/>
                <w:b/>
                <w:bCs/>
                <w:color w:val="000000"/>
                <w:sz w:val="24"/>
                <w:szCs w:val="24"/>
                <w:lang w:val="en-US"/>
              </w:rPr>
              <w:t>atin Ame</w:t>
            </w:r>
            <w:r w:rsidRPr="002F53A4">
              <w:rPr>
                <w:rFonts w:eastAsia="Times New Roman"/>
                <w:b/>
                <w:bCs/>
                <w:color w:val="000000"/>
                <w:sz w:val="24"/>
                <w:szCs w:val="24"/>
                <w:lang w:val="en-US"/>
              </w:rPr>
              <w:t>rica, 1973-2013</w:t>
            </w:r>
          </w:p>
        </w:tc>
      </w:tr>
      <w:tr w:rsidR="001935CD" w:rsidRPr="00D60500" w:rsidTr="00C41AB4">
        <w:trPr>
          <w:trHeight w:val="315"/>
        </w:trPr>
        <w:tc>
          <w:tcPr>
            <w:tcW w:w="2220" w:type="dxa"/>
            <w:tcBorders>
              <w:top w:val="single" w:sz="4" w:space="0" w:color="000000"/>
              <w:left w:val="nil"/>
              <w:bottom w:val="nil"/>
              <w:right w:val="nil"/>
            </w:tcBorders>
            <w:shd w:val="clear" w:color="000000" w:fill="D8D8D8"/>
            <w:vAlign w:val="center"/>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Year</w:t>
            </w:r>
          </w:p>
        </w:tc>
        <w:tc>
          <w:tcPr>
            <w:tcW w:w="1600" w:type="dxa"/>
            <w:tcBorders>
              <w:top w:val="single" w:sz="4" w:space="0" w:color="000000"/>
              <w:left w:val="nil"/>
              <w:bottom w:val="nil"/>
              <w:right w:val="nil"/>
            </w:tcBorders>
            <w:shd w:val="clear" w:color="000000" w:fill="D8D8D8"/>
            <w:vAlign w:val="center"/>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USA</w:t>
            </w:r>
          </w:p>
        </w:tc>
        <w:tc>
          <w:tcPr>
            <w:tcW w:w="1900" w:type="dxa"/>
            <w:tcBorders>
              <w:top w:val="single" w:sz="4" w:space="0" w:color="000000"/>
              <w:left w:val="nil"/>
              <w:bottom w:val="nil"/>
              <w:right w:val="nil"/>
            </w:tcBorders>
            <w:shd w:val="clear" w:color="000000" w:fill="D8D8D8"/>
            <w:vAlign w:val="center"/>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G-7</w:t>
            </w:r>
          </w:p>
        </w:tc>
        <w:tc>
          <w:tcPr>
            <w:tcW w:w="1780" w:type="dxa"/>
            <w:tcBorders>
              <w:top w:val="single" w:sz="4" w:space="0" w:color="000000"/>
              <w:left w:val="nil"/>
              <w:bottom w:val="nil"/>
              <w:right w:val="nil"/>
            </w:tcBorders>
            <w:shd w:val="clear" w:color="000000" w:fill="D8D8D8"/>
            <w:vAlign w:val="center"/>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Latin America</w:t>
            </w:r>
          </w:p>
        </w:tc>
      </w:tr>
      <w:tr w:rsidR="001935CD" w:rsidRPr="00D60500" w:rsidTr="00C41AB4">
        <w:trPr>
          <w:trHeight w:val="315"/>
        </w:trPr>
        <w:tc>
          <w:tcPr>
            <w:tcW w:w="2220" w:type="dxa"/>
            <w:tcBorders>
              <w:top w:val="single" w:sz="4" w:space="0" w:color="auto"/>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1973</w:t>
            </w:r>
          </w:p>
        </w:tc>
        <w:tc>
          <w:tcPr>
            <w:tcW w:w="1600" w:type="dxa"/>
            <w:tcBorders>
              <w:top w:val="single" w:sz="4" w:space="0" w:color="auto"/>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23%</w:t>
            </w:r>
          </w:p>
        </w:tc>
        <w:tc>
          <w:tcPr>
            <w:tcW w:w="1900" w:type="dxa"/>
            <w:tcBorders>
              <w:top w:val="single" w:sz="4" w:space="0" w:color="auto"/>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29%</w:t>
            </w:r>
          </w:p>
        </w:tc>
        <w:tc>
          <w:tcPr>
            <w:tcW w:w="1780" w:type="dxa"/>
            <w:tcBorders>
              <w:top w:val="single" w:sz="4" w:space="0" w:color="auto"/>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82%</w:t>
            </w:r>
          </w:p>
        </w:tc>
      </w:tr>
      <w:tr w:rsidR="001935CD" w:rsidRPr="00D60500" w:rsidTr="00C41AB4">
        <w:trPr>
          <w:trHeight w:val="315"/>
        </w:trPr>
        <w:tc>
          <w:tcPr>
            <w:tcW w:w="2220" w:type="dxa"/>
            <w:tcBorders>
              <w:top w:val="nil"/>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1989</w:t>
            </w:r>
          </w:p>
        </w:tc>
        <w:tc>
          <w:tcPr>
            <w:tcW w:w="1600" w:type="dxa"/>
            <w:tcBorders>
              <w:top w:val="nil"/>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21%</w:t>
            </w:r>
          </w:p>
        </w:tc>
        <w:tc>
          <w:tcPr>
            <w:tcW w:w="1900" w:type="dxa"/>
            <w:tcBorders>
              <w:top w:val="nil"/>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25%</w:t>
            </w:r>
          </w:p>
        </w:tc>
        <w:tc>
          <w:tcPr>
            <w:tcW w:w="1780" w:type="dxa"/>
            <w:tcBorders>
              <w:top w:val="nil"/>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91%</w:t>
            </w:r>
          </w:p>
        </w:tc>
      </w:tr>
      <w:tr w:rsidR="001935CD" w:rsidRPr="00D60500" w:rsidTr="00C41AB4">
        <w:trPr>
          <w:trHeight w:val="315"/>
        </w:trPr>
        <w:tc>
          <w:tcPr>
            <w:tcW w:w="2220" w:type="dxa"/>
            <w:tcBorders>
              <w:top w:val="nil"/>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1997</w:t>
            </w:r>
          </w:p>
        </w:tc>
        <w:tc>
          <w:tcPr>
            <w:tcW w:w="1600" w:type="dxa"/>
            <w:tcBorders>
              <w:top w:val="nil"/>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29%</w:t>
            </w:r>
          </w:p>
        </w:tc>
        <w:tc>
          <w:tcPr>
            <w:tcW w:w="1900" w:type="dxa"/>
            <w:tcBorders>
              <w:top w:val="nil"/>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34%</w:t>
            </w:r>
          </w:p>
        </w:tc>
        <w:tc>
          <w:tcPr>
            <w:tcW w:w="1780" w:type="dxa"/>
            <w:tcBorders>
              <w:top w:val="nil"/>
              <w:left w:val="nil"/>
              <w:bottom w:val="nil"/>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128%</w:t>
            </w:r>
          </w:p>
        </w:tc>
      </w:tr>
      <w:tr w:rsidR="001935CD" w:rsidRPr="00D60500" w:rsidTr="00C41AB4">
        <w:trPr>
          <w:trHeight w:val="315"/>
        </w:trPr>
        <w:tc>
          <w:tcPr>
            <w:tcW w:w="2220" w:type="dxa"/>
            <w:tcBorders>
              <w:top w:val="nil"/>
              <w:left w:val="nil"/>
              <w:bottom w:val="single" w:sz="4" w:space="0" w:color="auto"/>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2013</w:t>
            </w:r>
          </w:p>
        </w:tc>
        <w:tc>
          <w:tcPr>
            <w:tcW w:w="1600" w:type="dxa"/>
            <w:tcBorders>
              <w:top w:val="nil"/>
              <w:left w:val="nil"/>
              <w:bottom w:val="single" w:sz="4" w:space="0" w:color="auto"/>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37%</w:t>
            </w:r>
          </w:p>
        </w:tc>
        <w:tc>
          <w:tcPr>
            <w:tcW w:w="1900" w:type="dxa"/>
            <w:tcBorders>
              <w:top w:val="nil"/>
              <w:left w:val="nil"/>
              <w:bottom w:val="single" w:sz="4" w:space="0" w:color="auto"/>
              <w:right w:val="nil"/>
            </w:tcBorders>
            <w:shd w:val="clear" w:color="auto" w:fill="auto"/>
            <w:vAlign w:val="bottom"/>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44%</w:t>
            </w:r>
          </w:p>
        </w:tc>
        <w:tc>
          <w:tcPr>
            <w:tcW w:w="1780" w:type="dxa"/>
            <w:tcBorders>
              <w:top w:val="nil"/>
              <w:left w:val="nil"/>
              <w:bottom w:val="single" w:sz="4" w:space="0" w:color="auto"/>
              <w:right w:val="nil"/>
            </w:tcBorders>
            <w:shd w:val="clear" w:color="auto" w:fill="auto"/>
            <w:vAlign w:val="center"/>
            <w:hideMark/>
          </w:tcPr>
          <w:p w:rsidR="001935CD" w:rsidRPr="00D60500" w:rsidRDefault="001935CD" w:rsidP="00C41AB4">
            <w:pPr>
              <w:jc w:val="center"/>
              <w:rPr>
                <w:rFonts w:eastAsia="Times New Roman"/>
                <w:color w:val="000000"/>
                <w:sz w:val="24"/>
                <w:szCs w:val="24"/>
                <w:lang w:val="en-US"/>
              </w:rPr>
            </w:pPr>
            <w:r w:rsidRPr="00D60500">
              <w:rPr>
                <w:rFonts w:eastAsia="Times New Roman"/>
                <w:color w:val="000000"/>
                <w:sz w:val="24"/>
                <w:szCs w:val="24"/>
                <w:lang w:val="en-US"/>
              </w:rPr>
              <w:t>148%</w:t>
            </w:r>
          </w:p>
        </w:tc>
      </w:tr>
      <w:tr w:rsidR="001935CD" w:rsidRPr="00610291" w:rsidTr="00C41AB4">
        <w:trPr>
          <w:trHeight w:val="2100"/>
        </w:trPr>
        <w:tc>
          <w:tcPr>
            <w:tcW w:w="7500" w:type="dxa"/>
            <w:gridSpan w:val="4"/>
            <w:tcBorders>
              <w:top w:val="nil"/>
              <w:left w:val="nil"/>
              <w:bottom w:val="nil"/>
              <w:right w:val="nil"/>
            </w:tcBorders>
            <w:shd w:val="clear" w:color="auto" w:fill="auto"/>
            <w:hideMark/>
          </w:tcPr>
          <w:p w:rsidR="001935CD" w:rsidRPr="00EC28C1" w:rsidRDefault="001935CD" w:rsidP="00C41AB4">
            <w:pPr>
              <w:jc w:val="both"/>
              <w:rPr>
                <w:rFonts w:eastAsia="Times New Roman"/>
                <w:color w:val="000000"/>
                <w:lang w:val="en-US"/>
              </w:rPr>
            </w:pPr>
            <w:r w:rsidRPr="00EC28C1">
              <w:rPr>
                <w:rFonts w:eastAsia="Times New Roman"/>
                <w:b/>
                <w:color w:val="000000"/>
                <w:lang w:val="en-US"/>
              </w:rPr>
              <w:t>Source</w:t>
            </w:r>
            <w:r w:rsidRPr="00EC28C1">
              <w:rPr>
                <w:rFonts w:eastAsia="Times New Roman"/>
                <w:color w:val="000000"/>
                <w:lang w:val="en-US"/>
              </w:rPr>
              <w:t>: Levels of GDPpc in 2012 were determined by IMF estimates in ppp dollars for the four categories of countries. For the  previous  years, were used the rates of change of real GDPpc of the Central Bank for Chile and the World Bank  for the other categories up to 2012; IMF and ECLAC for 2013.</w:t>
            </w:r>
          </w:p>
          <w:p w:rsidR="001935CD" w:rsidRPr="00EC28C1" w:rsidRDefault="001935CD" w:rsidP="00C41AB4">
            <w:pPr>
              <w:jc w:val="both"/>
              <w:rPr>
                <w:rFonts w:eastAsia="Times New Roman"/>
                <w:color w:val="000000"/>
                <w:lang w:val="en-US"/>
              </w:rPr>
            </w:pPr>
          </w:p>
          <w:p w:rsidR="001935CD" w:rsidRDefault="001935CD" w:rsidP="00C41AB4">
            <w:pPr>
              <w:jc w:val="both"/>
              <w:rPr>
                <w:rFonts w:eastAsia="Times New Roman"/>
                <w:color w:val="000000"/>
                <w:sz w:val="24"/>
                <w:szCs w:val="24"/>
                <w:lang w:val="en-US"/>
              </w:rPr>
            </w:pPr>
          </w:p>
          <w:p w:rsidR="001935CD" w:rsidRDefault="001935CD" w:rsidP="00C41AB4">
            <w:pPr>
              <w:jc w:val="both"/>
              <w:rPr>
                <w:rFonts w:eastAsia="Times New Roman"/>
                <w:color w:val="000000"/>
                <w:sz w:val="24"/>
                <w:szCs w:val="24"/>
                <w:lang w:val="en-US"/>
              </w:rPr>
            </w:pPr>
          </w:p>
          <w:p w:rsidR="001935CD" w:rsidRDefault="001935CD" w:rsidP="00C41AB4">
            <w:pPr>
              <w:jc w:val="both"/>
              <w:rPr>
                <w:rFonts w:eastAsia="Times New Roman"/>
                <w:color w:val="000000"/>
                <w:sz w:val="24"/>
                <w:szCs w:val="24"/>
                <w:lang w:val="en-US"/>
              </w:rPr>
            </w:pPr>
          </w:p>
          <w:p w:rsidR="001935CD" w:rsidRDefault="001935CD" w:rsidP="00C41AB4">
            <w:pPr>
              <w:jc w:val="both"/>
              <w:rPr>
                <w:rFonts w:eastAsia="Times New Roman"/>
                <w:color w:val="000000"/>
                <w:sz w:val="24"/>
                <w:szCs w:val="24"/>
                <w:lang w:val="en-US"/>
              </w:rPr>
            </w:pPr>
          </w:p>
          <w:p w:rsidR="001935CD" w:rsidRDefault="001935CD" w:rsidP="00C41AB4">
            <w:pPr>
              <w:jc w:val="both"/>
              <w:rPr>
                <w:rFonts w:eastAsia="Times New Roman"/>
                <w:color w:val="000000"/>
                <w:sz w:val="24"/>
                <w:szCs w:val="24"/>
                <w:lang w:val="en-US"/>
              </w:rPr>
            </w:pPr>
          </w:p>
          <w:p w:rsidR="001935CD" w:rsidRPr="0045173F" w:rsidRDefault="001935CD" w:rsidP="00C41AB4">
            <w:pPr>
              <w:jc w:val="both"/>
              <w:rPr>
                <w:rFonts w:eastAsia="Times New Roman"/>
                <w:color w:val="000000"/>
                <w:sz w:val="24"/>
                <w:szCs w:val="24"/>
                <w:lang w:val="en-US"/>
              </w:rPr>
            </w:pPr>
          </w:p>
        </w:tc>
      </w:tr>
    </w:tbl>
    <w:p w:rsidR="001935CD" w:rsidRPr="00090EFB" w:rsidRDefault="001935CD" w:rsidP="00090EFB">
      <w:pPr>
        <w:rPr>
          <w:b/>
          <w:sz w:val="24"/>
          <w:szCs w:val="24"/>
          <w:lang w:val="en-US"/>
        </w:rPr>
      </w:pPr>
      <w:r w:rsidRPr="0045173F">
        <w:rPr>
          <w:lang w:val="en-US"/>
        </w:rPr>
        <w:lastRenderedPageBreak/>
        <w:tab/>
      </w:r>
      <w:r w:rsidRPr="005C750D">
        <w:rPr>
          <w:sz w:val="24"/>
          <w:szCs w:val="24"/>
          <w:lang w:val="en-US"/>
        </w:rPr>
        <w:tab/>
      </w:r>
      <w:r w:rsidRPr="005C750D">
        <w:rPr>
          <w:sz w:val="24"/>
          <w:szCs w:val="24"/>
          <w:lang w:val="en-US"/>
        </w:rPr>
        <w:tab/>
      </w:r>
      <w:r w:rsidR="00432759">
        <w:rPr>
          <w:sz w:val="24"/>
          <w:szCs w:val="24"/>
          <w:lang w:val="en-US"/>
        </w:rPr>
        <w:t xml:space="preserve">    </w:t>
      </w:r>
      <w:r w:rsidRPr="00090EFB">
        <w:rPr>
          <w:b/>
          <w:sz w:val="24"/>
          <w:szCs w:val="24"/>
          <w:lang w:val="en-US"/>
        </w:rPr>
        <w:t xml:space="preserve">Table 3 </w:t>
      </w:r>
    </w:p>
    <w:p w:rsidR="001935CD" w:rsidRPr="005C750D" w:rsidRDefault="00090EFB" w:rsidP="00090EFB">
      <w:pPr>
        <w:widowControl w:val="0"/>
        <w:tabs>
          <w:tab w:val="left" w:pos="170"/>
          <w:tab w:val="left" w:pos="432"/>
        </w:tabs>
        <w:rPr>
          <w:b/>
          <w:sz w:val="24"/>
          <w:szCs w:val="24"/>
          <w:lang w:val="en-US"/>
        </w:rPr>
      </w:pPr>
      <w:r>
        <w:rPr>
          <w:b/>
          <w:sz w:val="24"/>
          <w:szCs w:val="24"/>
          <w:lang w:val="en-US"/>
        </w:rPr>
        <w:tab/>
      </w:r>
      <w:r>
        <w:rPr>
          <w:b/>
          <w:sz w:val="24"/>
          <w:szCs w:val="24"/>
          <w:lang w:val="en-US"/>
        </w:rPr>
        <w:tab/>
      </w:r>
      <w:r>
        <w:rPr>
          <w:b/>
          <w:sz w:val="24"/>
          <w:szCs w:val="24"/>
          <w:lang w:val="en-US"/>
        </w:rPr>
        <w:tab/>
      </w:r>
      <w:r w:rsidR="001935CD" w:rsidRPr="005C750D">
        <w:rPr>
          <w:b/>
          <w:sz w:val="24"/>
          <w:szCs w:val="24"/>
          <w:lang w:val="en-US"/>
        </w:rPr>
        <w:t xml:space="preserve">GDP, exports, investment and wages, 1990-2013 </w:t>
      </w:r>
    </w:p>
    <w:p w:rsidR="001935CD" w:rsidRPr="005C750D" w:rsidRDefault="001935CD" w:rsidP="001935CD">
      <w:pPr>
        <w:widowControl w:val="0"/>
        <w:tabs>
          <w:tab w:val="left" w:pos="170"/>
          <w:tab w:val="left" w:pos="432"/>
        </w:tabs>
        <w:rPr>
          <w:b/>
          <w:sz w:val="24"/>
          <w:szCs w:val="24"/>
        </w:rPr>
      </w:pPr>
      <w:r w:rsidRPr="005C750D">
        <w:rPr>
          <w:b/>
          <w:sz w:val="24"/>
          <w:szCs w:val="24"/>
          <w:lang w:val="en-US"/>
        </w:rPr>
        <w:tab/>
      </w:r>
      <w:r w:rsidRPr="005C750D">
        <w:rPr>
          <w:b/>
          <w:sz w:val="24"/>
          <w:szCs w:val="24"/>
          <w:lang w:val="en-US"/>
        </w:rPr>
        <w:tab/>
      </w:r>
      <w:r w:rsidRPr="005C750D">
        <w:rPr>
          <w:b/>
          <w:sz w:val="24"/>
          <w:szCs w:val="24"/>
          <w:lang w:val="en-US"/>
        </w:rPr>
        <w:tab/>
      </w:r>
      <w:r w:rsidRPr="005C750D">
        <w:rPr>
          <w:b/>
          <w:sz w:val="24"/>
          <w:szCs w:val="24"/>
          <w:lang w:val="en-US"/>
        </w:rPr>
        <w:tab/>
      </w:r>
      <w:r w:rsidRPr="005C750D">
        <w:rPr>
          <w:b/>
          <w:sz w:val="24"/>
          <w:szCs w:val="24"/>
          <w:lang w:val="en-US"/>
        </w:rPr>
        <w:tab/>
      </w:r>
      <w:r w:rsidRPr="005C750D">
        <w:rPr>
          <w:b/>
          <w:sz w:val="24"/>
          <w:szCs w:val="24"/>
        </w:rPr>
        <w:t>(average</w:t>
      </w:r>
      <w:r w:rsidR="00333DC7">
        <w:rPr>
          <w:b/>
          <w:sz w:val="24"/>
          <w:szCs w:val="24"/>
        </w:rPr>
        <w:t xml:space="preserve"> </w:t>
      </w:r>
      <w:r w:rsidRPr="005C750D">
        <w:rPr>
          <w:b/>
          <w:sz w:val="24"/>
          <w:szCs w:val="24"/>
        </w:rPr>
        <w:t xml:space="preserve">rates of growth,%) </w:t>
      </w:r>
    </w:p>
    <w:tbl>
      <w:tblPr>
        <w:tblW w:w="6361" w:type="dxa"/>
        <w:tblInd w:w="55" w:type="dxa"/>
        <w:tblCellMar>
          <w:left w:w="70" w:type="dxa"/>
          <w:right w:w="70" w:type="dxa"/>
        </w:tblCellMar>
        <w:tblLook w:val="04A0" w:firstRow="1" w:lastRow="0" w:firstColumn="1" w:lastColumn="0" w:noHBand="0" w:noVBand="1"/>
      </w:tblPr>
      <w:tblGrid>
        <w:gridCol w:w="262"/>
        <w:gridCol w:w="3499"/>
        <w:gridCol w:w="1300"/>
        <w:gridCol w:w="1300"/>
      </w:tblGrid>
      <w:tr w:rsidR="001935CD" w:rsidRPr="005C750D" w:rsidTr="00C41AB4">
        <w:trPr>
          <w:trHeight w:val="300"/>
        </w:trPr>
        <w:tc>
          <w:tcPr>
            <w:tcW w:w="3761" w:type="dxa"/>
            <w:gridSpan w:val="2"/>
            <w:tcBorders>
              <w:top w:val="single" w:sz="4" w:space="0" w:color="auto"/>
              <w:left w:val="single" w:sz="4" w:space="0" w:color="auto"/>
              <w:bottom w:val="single" w:sz="4" w:space="0" w:color="auto"/>
              <w:right w:val="nil"/>
            </w:tcBorders>
            <w:shd w:val="clear" w:color="000000" w:fill="808080"/>
            <w:noWrap/>
            <w:vAlign w:val="bottom"/>
            <w:hideMark/>
          </w:tcPr>
          <w:p w:rsidR="001935CD" w:rsidRPr="005C750D" w:rsidRDefault="001935CD" w:rsidP="00C41AB4">
            <w:pPr>
              <w:spacing w:line="360" w:lineRule="auto"/>
              <w:rPr>
                <w:rFonts w:ascii="Calibri" w:hAnsi="Calibri"/>
                <w:b/>
                <w:color w:val="000000"/>
                <w:sz w:val="24"/>
                <w:szCs w:val="24"/>
                <w:lang w:eastAsia="es-ES"/>
              </w:rPr>
            </w:pPr>
          </w:p>
        </w:tc>
        <w:tc>
          <w:tcPr>
            <w:tcW w:w="1300" w:type="dxa"/>
            <w:tcBorders>
              <w:top w:val="single" w:sz="4" w:space="0" w:color="auto"/>
              <w:left w:val="nil"/>
              <w:bottom w:val="single" w:sz="4" w:space="0" w:color="auto"/>
              <w:right w:val="nil"/>
            </w:tcBorders>
            <w:shd w:val="clear" w:color="000000" w:fill="808080"/>
            <w:noWrap/>
            <w:vAlign w:val="bottom"/>
            <w:hideMark/>
          </w:tcPr>
          <w:p w:rsidR="001935CD" w:rsidRPr="005C750D" w:rsidRDefault="001935CD" w:rsidP="00C41AB4">
            <w:pPr>
              <w:spacing w:line="360" w:lineRule="auto"/>
              <w:jc w:val="center"/>
              <w:rPr>
                <w:rFonts w:ascii="Calibri" w:hAnsi="Calibri"/>
                <w:b/>
                <w:color w:val="000000"/>
                <w:sz w:val="24"/>
                <w:szCs w:val="24"/>
                <w:lang w:eastAsia="es-ES"/>
              </w:rPr>
            </w:pPr>
            <w:r w:rsidRPr="005C750D">
              <w:rPr>
                <w:rFonts w:ascii="Calibri" w:hAnsi="Calibri"/>
                <w:b/>
                <w:color w:val="000000"/>
                <w:sz w:val="24"/>
                <w:szCs w:val="24"/>
                <w:lang w:eastAsia="es-ES"/>
              </w:rPr>
              <w:t>1990-98</w:t>
            </w:r>
          </w:p>
        </w:tc>
        <w:tc>
          <w:tcPr>
            <w:tcW w:w="1300" w:type="dxa"/>
            <w:tcBorders>
              <w:top w:val="single" w:sz="4" w:space="0" w:color="auto"/>
              <w:left w:val="nil"/>
              <w:bottom w:val="single" w:sz="4" w:space="0" w:color="auto"/>
              <w:right w:val="single" w:sz="4" w:space="0" w:color="auto"/>
            </w:tcBorders>
            <w:shd w:val="clear" w:color="000000" w:fill="808080"/>
            <w:noWrap/>
            <w:vAlign w:val="bottom"/>
            <w:hideMark/>
          </w:tcPr>
          <w:p w:rsidR="001935CD" w:rsidRPr="005C750D" w:rsidRDefault="001935CD" w:rsidP="00C41AB4">
            <w:pPr>
              <w:spacing w:line="360" w:lineRule="auto"/>
              <w:jc w:val="center"/>
              <w:rPr>
                <w:rFonts w:ascii="Calibri" w:hAnsi="Calibri"/>
                <w:b/>
                <w:color w:val="000000"/>
                <w:sz w:val="24"/>
                <w:szCs w:val="24"/>
                <w:lang w:eastAsia="es-ES"/>
              </w:rPr>
            </w:pPr>
            <w:r w:rsidRPr="005C750D">
              <w:rPr>
                <w:rFonts w:ascii="Calibri" w:hAnsi="Calibri"/>
                <w:b/>
                <w:color w:val="000000"/>
                <w:sz w:val="24"/>
                <w:szCs w:val="24"/>
                <w:lang w:eastAsia="es-ES"/>
              </w:rPr>
              <w:t>1999-2013</w:t>
            </w:r>
          </w:p>
        </w:tc>
      </w:tr>
      <w:tr w:rsidR="001935CD" w:rsidRPr="00D058AE" w:rsidTr="00C41AB4">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sidRPr="00D058AE">
              <w:rPr>
                <w:rFonts w:ascii="Calibri" w:hAnsi="Calibri"/>
                <w:color w:val="000000"/>
                <w:sz w:val="24"/>
                <w:szCs w:val="24"/>
                <w:lang w:eastAsia="es-ES"/>
              </w:rPr>
              <w:t>1</w:t>
            </w:r>
          </w:p>
        </w:tc>
        <w:tc>
          <w:tcPr>
            <w:tcW w:w="3499" w:type="dxa"/>
            <w:tcBorders>
              <w:top w:val="nil"/>
              <w:left w:val="nil"/>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rPr>
                <w:rFonts w:ascii="Calibri" w:hAnsi="Calibri"/>
                <w:color w:val="000000"/>
                <w:sz w:val="24"/>
                <w:szCs w:val="24"/>
                <w:lang w:eastAsia="es-ES"/>
              </w:rPr>
            </w:pPr>
            <w:r>
              <w:rPr>
                <w:rFonts w:ascii="Calibri" w:hAnsi="Calibri"/>
                <w:color w:val="000000"/>
                <w:sz w:val="24"/>
                <w:szCs w:val="24"/>
                <w:lang w:eastAsia="es-ES"/>
              </w:rPr>
              <w:t>GDP</w:t>
            </w:r>
          </w:p>
        </w:tc>
        <w:tc>
          <w:tcPr>
            <w:tcW w:w="1300" w:type="dxa"/>
            <w:tcBorders>
              <w:top w:val="nil"/>
              <w:left w:val="nil"/>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Pr>
                <w:rFonts w:ascii="Calibri" w:hAnsi="Calibri"/>
                <w:color w:val="000000"/>
                <w:sz w:val="24"/>
                <w:szCs w:val="24"/>
                <w:lang w:eastAsia="es-ES"/>
              </w:rPr>
              <w:t>7.</w:t>
            </w:r>
            <w:r w:rsidRPr="00D058AE">
              <w:rPr>
                <w:rFonts w:ascii="Calibri" w:hAnsi="Calibri"/>
                <w:color w:val="000000"/>
                <w:sz w:val="24"/>
                <w:szCs w:val="24"/>
                <w:lang w:eastAsia="es-ES"/>
              </w:rPr>
              <w:t>1</w:t>
            </w:r>
          </w:p>
        </w:tc>
        <w:tc>
          <w:tcPr>
            <w:tcW w:w="1300" w:type="dxa"/>
            <w:tcBorders>
              <w:top w:val="nil"/>
              <w:left w:val="nil"/>
              <w:bottom w:val="single" w:sz="4" w:space="0" w:color="auto"/>
              <w:right w:val="single" w:sz="4" w:space="0" w:color="auto"/>
            </w:tcBorders>
            <w:shd w:val="clear" w:color="auto" w:fill="auto"/>
            <w:noWrap/>
            <w:vAlign w:val="bottom"/>
          </w:tcPr>
          <w:p w:rsidR="001935CD" w:rsidRPr="00D058AE" w:rsidRDefault="001935CD" w:rsidP="00C41AB4">
            <w:pPr>
              <w:spacing w:line="360" w:lineRule="auto"/>
              <w:jc w:val="center"/>
              <w:rPr>
                <w:rFonts w:ascii="Calibri" w:hAnsi="Calibri"/>
                <w:color w:val="000000"/>
                <w:sz w:val="24"/>
                <w:szCs w:val="24"/>
                <w:lang w:eastAsia="es-ES"/>
              </w:rPr>
            </w:pPr>
            <w:r>
              <w:rPr>
                <w:rFonts w:ascii="Calibri" w:hAnsi="Calibri"/>
                <w:color w:val="000000"/>
                <w:sz w:val="24"/>
                <w:szCs w:val="24"/>
                <w:lang w:eastAsia="es-ES"/>
              </w:rPr>
              <w:t xml:space="preserve"> 3.9</w:t>
            </w:r>
          </w:p>
        </w:tc>
      </w:tr>
      <w:tr w:rsidR="001935CD" w:rsidRPr="00D058AE" w:rsidTr="00C41AB4">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sidRPr="00D058AE">
              <w:rPr>
                <w:rFonts w:ascii="Calibri" w:hAnsi="Calibri"/>
                <w:color w:val="000000"/>
                <w:sz w:val="24"/>
                <w:szCs w:val="24"/>
                <w:lang w:eastAsia="es-ES"/>
              </w:rPr>
              <w:t>2</w:t>
            </w:r>
          </w:p>
        </w:tc>
        <w:tc>
          <w:tcPr>
            <w:tcW w:w="3499" w:type="dxa"/>
            <w:tcBorders>
              <w:top w:val="nil"/>
              <w:left w:val="nil"/>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rPr>
                <w:rFonts w:ascii="Calibri" w:hAnsi="Calibri"/>
                <w:color w:val="000000"/>
                <w:sz w:val="24"/>
                <w:szCs w:val="24"/>
                <w:lang w:eastAsia="es-ES"/>
              </w:rPr>
            </w:pPr>
            <w:r>
              <w:rPr>
                <w:rFonts w:ascii="Calibri" w:hAnsi="Calibri"/>
                <w:color w:val="000000"/>
                <w:sz w:val="24"/>
                <w:szCs w:val="24"/>
                <w:lang w:eastAsia="es-ES"/>
              </w:rPr>
              <w:t>GDP exported</w:t>
            </w:r>
          </w:p>
        </w:tc>
        <w:tc>
          <w:tcPr>
            <w:tcW w:w="1300" w:type="dxa"/>
            <w:tcBorders>
              <w:top w:val="nil"/>
              <w:left w:val="nil"/>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Pr>
                <w:rFonts w:ascii="Calibri" w:hAnsi="Calibri"/>
                <w:color w:val="000000"/>
                <w:sz w:val="24"/>
                <w:szCs w:val="24"/>
                <w:lang w:eastAsia="es-ES"/>
              </w:rPr>
              <w:t>9.</w:t>
            </w:r>
            <w:r w:rsidRPr="00D058AE">
              <w:rPr>
                <w:rFonts w:ascii="Calibri" w:hAnsi="Calibri"/>
                <w:color w:val="000000"/>
                <w:sz w:val="24"/>
                <w:szCs w:val="24"/>
                <w:lang w:eastAsia="es-ES"/>
              </w:rPr>
              <w:t>9</w:t>
            </w:r>
          </w:p>
        </w:tc>
        <w:tc>
          <w:tcPr>
            <w:tcW w:w="1300" w:type="dxa"/>
            <w:tcBorders>
              <w:top w:val="nil"/>
              <w:left w:val="nil"/>
              <w:bottom w:val="single" w:sz="4" w:space="0" w:color="auto"/>
              <w:right w:val="single" w:sz="4" w:space="0" w:color="auto"/>
            </w:tcBorders>
            <w:shd w:val="clear" w:color="auto" w:fill="auto"/>
            <w:noWrap/>
            <w:vAlign w:val="bottom"/>
          </w:tcPr>
          <w:p w:rsidR="001935CD" w:rsidRPr="00D058AE" w:rsidRDefault="001935CD" w:rsidP="00C41AB4">
            <w:pPr>
              <w:spacing w:line="360" w:lineRule="auto"/>
              <w:jc w:val="center"/>
              <w:rPr>
                <w:rFonts w:ascii="Calibri" w:hAnsi="Calibri"/>
                <w:color w:val="000000"/>
                <w:sz w:val="24"/>
                <w:szCs w:val="24"/>
                <w:lang w:eastAsia="es-ES"/>
              </w:rPr>
            </w:pPr>
            <w:r>
              <w:rPr>
                <w:rFonts w:ascii="Calibri" w:hAnsi="Calibri"/>
                <w:color w:val="000000"/>
                <w:sz w:val="24"/>
                <w:szCs w:val="24"/>
                <w:lang w:eastAsia="es-ES"/>
              </w:rPr>
              <w:t xml:space="preserve"> 4.3</w:t>
            </w:r>
          </w:p>
        </w:tc>
      </w:tr>
      <w:tr w:rsidR="001935CD" w:rsidRPr="00D058AE" w:rsidTr="00C41AB4">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sidRPr="00D058AE">
              <w:rPr>
                <w:rFonts w:ascii="Calibri" w:hAnsi="Calibri"/>
                <w:color w:val="000000"/>
                <w:sz w:val="24"/>
                <w:szCs w:val="24"/>
                <w:lang w:eastAsia="es-ES"/>
              </w:rPr>
              <w:t>3</w:t>
            </w:r>
          </w:p>
        </w:tc>
        <w:tc>
          <w:tcPr>
            <w:tcW w:w="3499" w:type="dxa"/>
            <w:tcBorders>
              <w:top w:val="nil"/>
              <w:left w:val="nil"/>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rPr>
                <w:rFonts w:ascii="Calibri" w:hAnsi="Calibri"/>
                <w:color w:val="000000"/>
                <w:sz w:val="24"/>
                <w:szCs w:val="24"/>
                <w:lang w:eastAsia="es-ES"/>
              </w:rPr>
            </w:pPr>
            <w:r>
              <w:rPr>
                <w:rFonts w:ascii="Calibri" w:hAnsi="Calibri"/>
                <w:color w:val="000000"/>
                <w:sz w:val="24"/>
                <w:szCs w:val="24"/>
                <w:lang w:eastAsia="es-ES"/>
              </w:rPr>
              <w:t>Rest of GDP</w:t>
            </w:r>
          </w:p>
        </w:tc>
        <w:tc>
          <w:tcPr>
            <w:tcW w:w="1300" w:type="dxa"/>
            <w:tcBorders>
              <w:top w:val="nil"/>
              <w:left w:val="nil"/>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Pr>
                <w:rFonts w:ascii="Calibri" w:hAnsi="Calibri"/>
                <w:color w:val="000000"/>
                <w:sz w:val="24"/>
                <w:szCs w:val="24"/>
                <w:lang w:eastAsia="es-ES"/>
              </w:rPr>
              <w:t>6.</w:t>
            </w:r>
            <w:r w:rsidRPr="00D058AE">
              <w:rPr>
                <w:rFonts w:ascii="Calibri" w:hAnsi="Calibri"/>
                <w:color w:val="000000"/>
                <w:sz w:val="24"/>
                <w:szCs w:val="24"/>
                <w:lang w:eastAsia="es-ES"/>
              </w:rPr>
              <w:t>5</w:t>
            </w:r>
          </w:p>
        </w:tc>
        <w:tc>
          <w:tcPr>
            <w:tcW w:w="1300" w:type="dxa"/>
            <w:tcBorders>
              <w:top w:val="nil"/>
              <w:left w:val="nil"/>
              <w:bottom w:val="single" w:sz="4" w:space="0" w:color="auto"/>
              <w:right w:val="single" w:sz="4" w:space="0" w:color="auto"/>
            </w:tcBorders>
            <w:shd w:val="clear" w:color="auto" w:fill="auto"/>
            <w:noWrap/>
            <w:vAlign w:val="bottom"/>
          </w:tcPr>
          <w:p w:rsidR="001935CD" w:rsidRPr="00D058AE" w:rsidRDefault="001935CD" w:rsidP="00C41AB4">
            <w:pPr>
              <w:spacing w:line="360" w:lineRule="auto"/>
              <w:jc w:val="center"/>
              <w:rPr>
                <w:rFonts w:ascii="Calibri" w:hAnsi="Calibri"/>
                <w:color w:val="000000"/>
                <w:sz w:val="24"/>
                <w:szCs w:val="24"/>
                <w:lang w:eastAsia="es-ES"/>
              </w:rPr>
            </w:pPr>
            <w:r>
              <w:rPr>
                <w:rFonts w:ascii="Calibri" w:hAnsi="Calibri"/>
                <w:color w:val="000000"/>
                <w:sz w:val="24"/>
                <w:szCs w:val="24"/>
                <w:lang w:eastAsia="es-ES"/>
              </w:rPr>
              <w:t xml:space="preserve"> 3.8</w:t>
            </w:r>
          </w:p>
        </w:tc>
      </w:tr>
      <w:tr w:rsidR="001935CD" w:rsidRPr="00D058AE" w:rsidTr="00C41AB4">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sidRPr="00D058AE">
              <w:rPr>
                <w:rFonts w:ascii="Calibri" w:hAnsi="Calibri"/>
                <w:color w:val="000000"/>
                <w:sz w:val="24"/>
                <w:szCs w:val="24"/>
                <w:lang w:eastAsia="es-ES"/>
              </w:rPr>
              <w:t>4</w:t>
            </w:r>
          </w:p>
        </w:tc>
        <w:tc>
          <w:tcPr>
            <w:tcW w:w="3499" w:type="dxa"/>
            <w:tcBorders>
              <w:top w:val="nil"/>
              <w:left w:val="nil"/>
              <w:bottom w:val="single" w:sz="4" w:space="0" w:color="auto"/>
              <w:right w:val="single" w:sz="4" w:space="0" w:color="auto"/>
            </w:tcBorders>
            <w:shd w:val="clear" w:color="auto" w:fill="auto"/>
            <w:noWrap/>
            <w:vAlign w:val="bottom"/>
            <w:hideMark/>
          </w:tcPr>
          <w:p w:rsidR="001935CD" w:rsidRPr="00DA5138" w:rsidRDefault="001935CD" w:rsidP="00C41AB4">
            <w:pPr>
              <w:spacing w:line="360" w:lineRule="auto"/>
              <w:rPr>
                <w:rFonts w:ascii="Calibri" w:hAnsi="Calibri"/>
                <w:color w:val="000000"/>
                <w:sz w:val="24"/>
                <w:szCs w:val="24"/>
                <w:lang w:val="en-US" w:eastAsia="es-ES"/>
              </w:rPr>
            </w:pPr>
            <w:r w:rsidRPr="00DA5138">
              <w:rPr>
                <w:rFonts w:ascii="Calibri" w:hAnsi="Calibri"/>
                <w:color w:val="000000"/>
                <w:sz w:val="24"/>
                <w:szCs w:val="24"/>
                <w:lang w:val="en-US" w:eastAsia="es-ES"/>
              </w:rPr>
              <w:t>Net capital formation (% of GDP)</w:t>
            </w:r>
          </w:p>
        </w:tc>
        <w:tc>
          <w:tcPr>
            <w:tcW w:w="1300" w:type="dxa"/>
            <w:tcBorders>
              <w:top w:val="nil"/>
              <w:left w:val="nil"/>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Pr>
                <w:rFonts w:ascii="Calibri" w:hAnsi="Calibri"/>
                <w:color w:val="000000"/>
                <w:sz w:val="24"/>
                <w:szCs w:val="24"/>
                <w:lang w:eastAsia="es-ES"/>
              </w:rPr>
              <w:t>13.</w:t>
            </w:r>
            <w:r w:rsidRPr="00D058AE">
              <w:rPr>
                <w:rFonts w:ascii="Calibri" w:hAnsi="Calibri"/>
                <w:color w:val="000000"/>
                <w:sz w:val="24"/>
                <w:szCs w:val="24"/>
                <w:lang w:eastAsia="es-ES"/>
              </w:rPr>
              <w:t>1</w:t>
            </w:r>
          </w:p>
        </w:tc>
        <w:tc>
          <w:tcPr>
            <w:tcW w:w="1300" w:type="dxa"/>
            <w:tcBorders>
              <w:top w:val="nil"/>
              <w:left w:val="nil"/>
              <w:bottom w:val="single" w:sz="4" w:space="0" w:color="auto"/>
              <w:right w:val="single" w:sz="4" w:space="0" w:color="auto"/>
            </w:tcBorders>
            <w:shd w:val="clear" w:color="auto" w:fill="auto"/>
            <w:noWrap/>
            <w:vAlign w:val="bottom"/>
            <w:hideMark/>
          </w:tcPr>
          <w:p w:rsidR="00A055AE" w:rsidRDefault="001935CD">
            <w:pPr>
              <w:spacing w:line="360" w:lineRule="auto"/>
              <w:jc w:val="center"/>
              <w:rPr>
                <w:rFonts w:ascii="Calibri" w:hAnsi="Calibri"/>
                <w:color w:val="000000"/>
                <w:sz w:val="24"/>
                <w:szCs w:val="24"/>
                <w:lang w:eastAsia="es-ES"/>
              </w:rPr>
            </w:pPr>
            <w:r>
              <w:rPr>
                <w:rFonts w:ascii="Calibri" w:hAnsi="Calibri"/>
                <w:color w:val="000000"/>
                <w:sz w:val="24"/>
                <w:szCs w:val="24"/>
                <w:lang w:eastAsia="es-ES"/>
              </w:rPr>
              <w:t xml:space="preserve">    1</w:t>
            </w:r>
            <w:r w:rsidRPr="00D058AE">
              <w:rPr>
                <w:rFonts w:ascii="Calibri" w:hAnsi="Calibri"/>
                <w:color w:val="000000"/>
                <w:sz w:val="24"/>
                <w:szCs w:val="24"/>
                <w:lang w:eastAsia="es-ES"/>
              </w:rPr>
              <w:t>2</w:t>
            </w:r>
            <w:r>
              <w:rPr>
                <w:rFonts w:ascii="Calibri" w:hAnsi="Calibri"/>
                <w:color w:val="000000"/>
                <w:sz w:val="24"/>
                <w:szCs w:val="24"/>
                <w:lang w:eastAsia="es-ES"/>
              </w:rPr>
              <w:t>.1**</w:t>
            </w:r>
          </w:p>
        </w:tc>
      </w:tr>
      <w:tr w:rsidR="001935CD" w:rsidRPr="00D058AE" w:rsidTr="00C41AB4">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sidRPr="00D058AE">
              <w:rPr>
                <w:rFonts w:ascii="Calibri" w:hAnsi="Calibri"/>
                <w:color w:val="000000"/>
                <w:sz w:val="24"/>
                <w:szCs w:val="24"/>
                <w:lang w:eastAsia="es-ES"/>
              </w:rPr>
              <w:t>5</w:t>
            </w:r>
          </w:p>
        </w:tc>
        <w:tc>
          <w:tcPr>
            <w:tcW w:w="3499" w:type="dxa"/>
            <w:tcBorders>
              <w:top w:val="nil"/>
              <w:left w:val="nil"/>
              <w:bottom w:val="single" w:sz="4" w:space="0" w:color="auto"/>
              <w:right w:val="single" w:sz="4" w:space="0" w:color="auto"/>
            </w:tcBorders>
            <w:shd w:val="clear" w:color="auto" w:fill="auto"/>
            <w:noWrap/>
            <w:vAlign w:val="bottom"/>
            <w:hideMark/>
          </w:tcPr>
          <w:p w:rsidR="001935CD" w:rsidRPr="00AB17D1" w:rsidRDefault="001935CD" w:rsidP="00C41AB4">
            <w:pPr>
              <w:spacing w:line="360" w:lineRule="auto"/>
              <w:rPr>
                <w:rFonts w:ascii="Calibri" w:hAnsi="Calibri"/>
                <w:color w:val="000000"/>
                <w:sz w:val="24"/>
                <w:szCs w:val="24"/>
                <w:lang w:val="en-US" w:eastAsia="es-ES"/>
              </w:rPr>
            </w:pPr>
            <w:r w:rsidRPr="00AB17D1">
              <w:rPr>
                <w:rFonts w:ascii="Calibri" w:hAnsi="Calibri"/>
                <w:color w:val="000000"/>
                <w:sz w:val="24"/>
                <w:szCs w:val="24"/>
                <w:lang w:val="en-US" w:eastAsia="es-ES"/>
              </w:rPr>
              <w:t xml:space="preserve">Index of real average wages </w:t>
            </w:r>
          </w:p>
        </w:tc>
        <w:tc>
          <w:tcPr>
            <w:tcW w:w="1300" w:type="dxa"/>
            <w:tcBorders>
              <w:top w:val="nil"/>
              <w:left w:val="nil"/>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Pr>
                <w:rFonts w:ascii="Calibri" w:hAnsi="Calibri"/>
                <w:color w:val="000000"/>
                <w:sz w:val="24"/>
                <w:szCs w:val="24"/>
                <w:lang w:eastAsia="es-ES"/>
              </w:rPr>
              <w:t>3.</w:t>
            </w:r>
            <w:r w:rsidRPr="00D058AE">
              <w:rPr>
                <w:rFonts w:ascii="Calibri" w:hAnsi="Calibri"/>
                <w:color w:val="000000"/>
                <w:sz w:val="24"/>
                <w:szCs w:val="24"/>
                <w:lang w:eastAsia="es-ES"/>
              </w:rPr>
              <w:t>9</w:t>
            </w:r>
          </w:p>
        </w:tc>
        <w:tc>
          <w:tcPr>
            <w:tcW w:w="1300" w:type="dxa"/>
            <w:tcBorders>
              <w:top w:val="nil"/>
              <w:left w:val="nil"/>
              <w:bottom w:val="single" w:sz="4" w:space="0" w:color="auto"/>
              <w:right w:val="single" w:sz="4" w:space="0" w:color="auto"/>
            </w:tcBorders>
            <w:shd w:val="clear" w:color="auto" w:fill="auto"/>
            <w:noWrap/>
            <w:vAlign w:val="bottom"/>
          </w:tcPr>
          <w:p w:rsidR="001935CD" w:rsidRPr="00D058AE" w:rsidRDefault="001935CD" w:rsidP="00C41AB4">
            <w:pPr>
              <w:spacing w:line="360" w:lineRule="auto"/>
              <w:jc w:val="center"/>
              <w:rPr>
                <w:rFonts w:ascii="Calibri" w:hAnsi="Calibri"/>
                <w:color w:val="000000"/>
                <w:sz w:val="24"/>
                <w:szCs w:val="24"/>
                <w:lang w:eastAsia="es-ES"/>
              </w:rPr>
            </w:pPr>
            <w:r>
              <w:rPr>
                <w:rFonts w:ascii="Calibri" w:hAnsi="Calibri"/>
                <w:color w:val="000000"/>
                <w:sz w:val="24"/>
                <w:szCs w:val="24"/>
                <w:lang w:eastAsia="es-ES"/>
              </w:rPr>
              <w:t xml:space="preserve"> 2.1</w:t>
            </w:r>
          </w:p>
        </w:tc>
      </w:tr>
      <w:tr w:rsidR="001935CD" w:rsidRPr="00D058AE" w:rsidTr="00C41AB4">
        <w:trPr>
          <w:trHeight w:val="300"/>
        </w:trPr>
        <w:tc>
          <w:tcPr>
            <w:tcW w:w="262" w:type="dxa"/>
            <w:tcBorders>
              <w:top w:val="nil"/>
              <w:left w:val="single" w:sz="4" w:space="0" w:color="auto"/>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sidRPr="00D058AE">
              <w:rPr>
                <w:rFonts w:ascii="Calibri" w:hAnsi="Calibri"/>
                <w:color w:val="000000"/>
                <w:sz w:val="24"/>
                <w:szCs w:val="24"/>
                <w:lang w:eastAsia="es-ES"/>
              </w:rPr>
              <w:t>6</w:t>
            </w:r>
          </w:p>
        </w:tc>
        <w:tc>
          <w:tcPr>
            <w:tcW w:w="3499" w:type="dxa"/>
            <w:tcBorders>
              <w:top w:val="nil"/>
              <w:left w:val="nil"/>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rPr>
                <w:rFonts w:ascii="Calibri" w:hAnsi="Calibri"/>
                <w:color w:val="000000"/>
                <w:sz w:val="24"/>
                <w:szCs w:val="24"/>
                <w:lang w:eastAsia="es-ES"/>
              </w:rPr>
            </w:pPr>
            <w:r>
              <w:rPr>
                <w:rFonts w:ascii="Calibri" w:hAnsi="Calibri"/>
                <w:color w:val="000000"/>
                <w:sz w:val="24"/>
                <w:szCs w:val="24"/>
                <w:lang w:eastAsia="es-ES"/>
              </w:rPr>
              <w:t xml:space="preserve">Real </w:t>
            </w:r>
            <w:r w:rsidR="00333DC7">
              <w:rPr>
                <w:rFonts w:ascii="Calibri" w:hAnsi="Calibri"/>
                <w:color w:val="000000"/>
                <w:sz w:val="24"/>
                <w:szCs w:val="24"/>
                <w:lang w:eastAsia="es-ES"/>
              </w:rPr>
              <w:t>minimum wage</w:t>
            </w:r>
          </w:p>
        </w:tc>
        <w:tc>
          <w:tcPr>
            <w:tcW w:w="1300" w:type="dxa"/>
            <w:tcBorders>
              <w:top w:val="nil"/>
              <w:left w:val="nil"/>
              <w:bottom w:val="single" w:sz="4" w:space="0" w:color="auto"/>
              <w:right w:val="single" w:sz="4" w:space="0" w:color="auto"/>
            </w:tcBorders>
            <w:shd w:val="clear" w:color="auto" w:fill="auto"/>
            <w:noWrap/>
            <w:vAlign w:val="bottom"/>
            <w:hideMark/>
          </w:tcPr>
          <w:p w:rsidR="001935CD" w:rsidRPr="00D058AE" w:rsidRDefault="001935CD" w:rsidP="00C41AB4">
            <w:pPr>
              <w:spacing w:line="360" w:lineRule="auto"/>
              <w:jc w:val="right"/>
              <w:rPr>
                <w:rFonts w:ascii="Calibri" w:hAnsi="Calibri"/>
                <w:color w:val="000000"/>
                <w:sz w:val="24"/>
                <w:szCs w:val="24"/>
                <w:lang w:eastAsia="es-ES"/>
              </w:rPr>
            </w:pPr>
            <w:r>
              <w:rPr>
                <w:rFonts w:ascii="Calibri" w:hAnsi="Calibri"/>
                <w:color w:val="000000"/>
                <w:sz w:val="24"/>
                <w:szCs w:val="24"/>
                <w:lang w:eastAsia="es-ES"/>
              </w:rPr>
              <w:t>5.</w:t>
            </w:r>
            <w:r w:rsidRPr="00D058AE">
              <w:rPr>
                <w:rFonts w:ascii="Calibri" w:hAnsi="Calibri"/>
                <w:color w:val="000000"/>
                <w:sz w:val="24"/>
                <w:szCs w:val="24"/>
                <w:lang w:eastAsia="es-ES"/>
              </w:rPr>
              <w:t>3</w:t>
            </w:r>
          </w:p>
        </w:tc>
        <w:tc>
          <w:tcPr>
            <w:tcW w:w="1300" w:type="dxa"/>
            <w:tcBorders>
              <w:top w:val="nil"/>
              <w:left w:val="nil"/>
              <w:bottom w:val="single" w:sz="4" w:space="0" w:color="auto"/>
              <w:right w:val="single" w:sz="4" w:space="0" w:color="auto"/>
            </w:tcBorders>
            <w:shd w:val="clear" w:color="auto" w:fill="auto"/>
            <w:noWrap/>
            <w:vAlign w:val="bottom"/>
          </w:tcPr>
          <w:p w:rsidR="001935CD" w:rsidRPr="00D058AE" w:rsidRDefault="001935CD" w:rsidP="00C41AB4">
            <w:pPr>
              <w:spacing w:line="360" w:lineRule="auto"/>
              <w:jc w:val="center"/>
              <w:rPr>
                <w:rFonts w:ascii="Calibri" w:hAnsi="Calibri"/>
                <w:color w:val="000000"/>
                <w:sz w:val="24"/>
                <w:szCs w:val="24"/>
                <w:lang w:eastAsia="es-ES"/>
              </w:rPr>
            </w:pPr>
            <w:r w:rsidRPr="006D6FA4">
              <w:rPr>
                <w:rFonts w:ascii="Calibri" w:hAnsi="Calibri"/>
                <w:color w:val="000000"/>
                <w:sz w:val="24"/>
                <w:szCs w:val="24"/>
                <w:lang w:eastAsia="es-ES"/>
              </w:rPr>
              <w:t>3.2*</w:t>
            </w:r>
          </w:p>
        </w:tc>
      </w:tr>
    </w:tbl>
    <w:p w:rsidR="001935CD" w:rsidRDefault="001935CD" w:rsidP="001935CD">
      <w:pPr>
        <w:widowControl w:val="0"/>
        <w:tabs>
          <w:tab w:val="left" w:pos="170"/>
          <w:tab w:val="left" w:pos="432"/>
        </w:tabs>
        <w:jc w:val="both"/>
        <w:rPr>
          <w:lang w:val="en-US"/>
        </w:rPr>
      </w:pPr>
      <w:r w:rsidRPr="00AB17D1">
        <w:rPr>
          <w:b/>
          <w:lang w:val="en-US"/>
        </w:rPr>
        <w:t xml:space="preserve">Source: </w:t>
      </w:r>
      <w:r w:rsidRPr="00966A1C">
        <w:rPr>
          <w:lang w:val="en-US"/>
        </w:rPr>
        <w:t xml:space="preserve">Abridged </w:t>
      </w:r>
      <w:r w:rsidRPr="00AB17D1">
        <w:rPr>
          <w:lang w:val="en-US"/>
        </w:rPr>
        <w:t xml:space="preserve">from  </w:t>
      </w:r>
      <w:r w:rsidR="007A6673">
        <w:rPr>
          <w:lang w:val="en-US"/>
        </w:rPr>
        <w:t xml:space="preserve">Ffrench-Davis (2014, table I.7), </w:t>
      </w:r>
      <w:r w:rsidR="00333DC7">
        <w:rPr>
          <w:lang w:val="en-US"/>
        </w:rPr>
        <w:t>based on</w:t>
      </w:r>
      <w:r w:rsidR="007A6673">
        <w:rPr>
          <w:lang w:val="en-US"/>
        </w:rPr>
        <w:t xml:space="preserve"> Central Bank and National Institute of Statistics data</w:t>
      </w:r>
      <w:r w:rsidR="007A6673">
        <w:rPr>
          <w:b/>
          <w:lang w:val="en-US"/>
        </w:rPr>
        <w:t>.</w:t>
      </w:r>
      <w:r w:rsidR="007A6673">
        <w:rPr>
          <w:lang w:val="en-US"/>
        </w:rPr>
        <w:t xml:space="preserve"> *Figures for 2013 are provisional. **</w:t>
      </w:r>
      <w:r w:rsidR="00D357FA">
        <w:rPr>
          <w:lang w:val="en-US"/>
        </w:rPr>
        <w:t xml:space="preserve">In line 4, </w:t>
      </w:r>
      <w:r w:rsidR="007A6673">
        <w:rPr>
          <w:lang w:val="en-US"/>
        </w:rPr>
        <w:t xml:space="preserve">NKF in 2010  was adjusted for an estimated 3% drop in the stock of capital due to the destruction generated by the 27F earthquake; itcut the average  1999-2013 </w:t>
      </w:r>
      <w:r>
        <w:rPr>
          <w:lang w:val="en-US"/>
        </w:rPr>
        <w:t xml:space="preserve">NKF </w:t>
      </w:r>
      <w:r w:rsidR="007A6673" w:rsidRPr="007A6673">
        <w:rPr>
          <w:lang w:val="en-US"/>
        </w:rPr>
        <w:t>ratio by 0.5 points.</w:t>
      </w:r>
    </w:p>
    <w:tbl>
      <w:tblPr>
        <w:tblW w:w="8961" w:type="dxa"/>
        <w:tblInd w:w="55" w:type="dxa"/>
        <w:tblCellMar>
          <w:left w:w="70" w:type="dxa"/>
          <w:right w:w="70" w:type="dxa"/>
        </w:tblCellMar>
        <w:tblLook w:val="04A0" w:firstRow="1" w:lastRow="0" w:firstColumn="1" w:lastColumn="0" w:noHBand="0" w:noVBand="1"/>
      </w:tblPr>
      <w:tblGrid>
        <w:gridCol w:w="3761"/>
        <w:gridCol w:w="1300"/>
        <w:gridCol w:w="1300"/>
        <w:gridCol w:w="1300"/>
        <w:gridCol w:w="1300"/>
      </w:tblGrid>
      <w:tr w:rsidR="001935CD" w:rsidRPr="00610291" w:rsidTr="00C41AB4">
        <w:trPr>
          <w:trHeight w:val="300"/>
        </w:trPr>
        <w:tc>
          <w:tcPr>
            <w:tcW w:w="3761" w:type="dxa"/>
            <w:tcBorders>
              <w:top w:val="single" w:sz="4" w:space="0" w:color="auto"/>
              <w:left w:val="single" w:sz="4" w:space="0" w:color="auto"/>
              <w:bottom w:val="single" w:sz="4" w:space="0" w:color="auto"/>
              <w:right w:val="nil"/>
            </w:tcBorders>
            <w:shd w:val="clear" w:color="000000" w:fill="808080"/>
            <w:noWrap/>
            <w:vAlign w:val="bottom"/>
            <w:hideMark/>
          </w:tcPr>
          <w:p w:rsidR="001935CD" w:rsidRPr="00966A1C" w:rsidRDefault="001935CD" w:rsidP="00C41AB4">
            <w:pPr>
              <w:spacing w:line="360" w:lineRule="auto"/>
              <w:rPr>
                <w:rFonts w:ascii="Calibri" w:hAnsi="Calibri"/>
                <w:color w:val="000000"/>
                <w:sz w:val="24"/>
                <w:szCs w:val="24"/>
                <w:lang w:val="en-US" w:eastAsia="es-ES"/>
              </w:rPr>
            </w:pPr>
          </w:p>
        </w:tc>
        <w:tc>
          <w:tcPr>
            <w:tcW w:w="1300" w:type="dxa"/>
            <w:tcBorders>
              <w:top w:val="single" w:sz="4" w:space="0" w:color="auto"/>
              <w:left w:val="nil"/>
              <w:bottom w:val="single" w:sz="4" w:space="0" w:color="auto"/>
              <w:right w:val="nil"/>
            </w:tcBorders>
            <w:shd w:val="clear" w:color="000000" w:fill="808080"/>
            <w:noWrap/>
            <w:vAlign w:val="bottom"/>
            <w:hideMark/>
          </w:tcPr>
          <w:p w:rsidR="001935CD" w:rsidRPr="00EC28C1" w:rsidRDefault="001935CD" w:rsidP="00C41AB4">
            <w:pPr>
              <w:spacing w:line="360" w:lineRule="auto"/>
              <w:jc w:val="center"/>
              <w:rPr>
                <w:rFonts w:ascii="Calibri" w:hAnsi="Calibri"/>
                <w:color w:val="000000"/>
                <w:sz w:val="24"/>
                <w:szCs w:val="24"/>
                <w:lang w:val="en-US" w:eastAsia="es-ES"/>
              </w:rPr>
            </w:pPr>
          </w:p>
        </w:tc>
        <w:tc>
          <w:tcPr>
            <w:tcW w:w="1300" w:type="dxa"/>
            <w:tcBorders>
              <w:top w:val="single" w:sz="4" w:space="0" w:color="auto"/>
              <w:left w:val="nil"/>
              <w:bottom w:val="single" w:sz="4" w:space="0" w:color="auto"/>
              <w:right w:val="nil"/>
            </w:tcBorders>
            <w:shd w:val="clear" w:color="000000" w:fill="808080"/>
            <w:noWrap/>
            <w:vAlign w:val="bottom"/>
            <w:hideMark/>
          </w:tcPr>
          <w:p w:rsidR="001935CD" w:rsidRPr="00EC28C1" w:rsidRDefault="001935CD" w:rsidP="00C41AB4">
            <w:pPr>
              <w:spacing w:line="360" w:lineRule="auto"/>
              <w:jc w:val="center"/>
              <w:rPr>
                <w:rFonts w:ascii="Calibri" w:hAnsi="Calibri"/>
                <w:color w:val="000000"/>
                <w:sz w:val="24"/>
                <w:szCs w:val="24"/>
                <w:lang w:val="en-US" w:eastAsia="es-ES"/>
              </w:rPr>
            </w:pPr>
          </w:p>
        </w:tc>
        <w:tc>
          <w:tcPr>
            <w:tcW w:w="1300" w:type="dxa"/>
            <w:tcBorders>
              <w:top w:val="single" w:sz="4" w:space="0" w:color="auto"/>
              <w:left w:val="nil"/>
              <w:bottom w:val="single" w:sz="4" w:space="0" w:color="auto"/>
              <w:right w:val="nil"/>
            </w:tcBorders>
            <w:shd w:val="clear" w:color="000000" w:fill="808080"/>
            <w:noWrap/>
            <w:vAlign w:val="bottom"/>
            <w:hideMark/>
          </w:tcPr>
          <w:p w:rsidR="001935CD" w:rsidRPr="00EC28C1" w:rsidRDefault="001935CD" w:rsidP="00C41AB4">
            <w:pPr>
              <w:spacing w:line="360" w:lineRule="auto"/>
              <w:jc w:val="center"/>
              <w:rPr>
                <w:rFonts w:ascii="Calibri" w:hAnsi="Calibri"/>
                <w:color w:val="000000"/>
                <w:sz w:val="24"/>
                <w:szCs w:val="24"/>
                <w:lang w:val="en-US" w:eastAsia="es-ES"/>
              </w:rPr>
            </w:pPr>
          </w:p>
        </w:tc>
        <w:tc>
          <w:tcPr>
            <w:tcW w:w="1300" w:type="dxa"/>
            <w:tcBorders>
              <w:top w:val="single" w:sz="4" w:space="0" w:color="auto"/>
              <w:left w:val="nil"/>
              <w:bottom w:val="single" w:sz="4" w:space="0" w:color="auto"/>
              <w:right w:val="single" w:sz="4" w:space="0" w:color="auto"/>
            </w:tcBorders>
            <w:shd w:val="clear" w:color="000000" w:fill="808080"/>
            <w:noWrap/>
            <w:vAlign w:val="bottom"/>
            <w:hideMark/>
          </w:tcPr>
          <w:p w:rsidR="001935CD" w:rsidRPr="00EC28C1" w:rsidRDefault="001935CD" w:rsidP="00C41AB4">
            <w:pPr>
              <w:spacing w:line="360" w:lineRule="auto"/>
              <w:jc w:val="center"/>
              <w:rPr>
                <w:rFonts w:ascii="Calibri" w:hAnsi="Calibri"/>
                <w:color w:val="000000"/>
                <w:sz w:val="24"/>
                <w:szCs w:val="24"/>
                <w:lang w:val="en-US" w:eastAsia="es-ES"/>
              </w:rPr>
            </w:pPr>
          </w:p>
        </w:tc>
      </w:tr>
    </w:tbl>
    <w:p w:rsidR="00090EFB" w:rsidRDefault="00090EFB" w:rsidP="00090EFB">
      <w:pPr>
        <w:rPr>
          <w:b/>
          <w:sz w:val="24"/>
          <w:szCs w:val="24"/>
          <w:lang w:val="en-US"/>
        </w:rPr>
      </w:pPr>
    </w:p>
    <w:p w:rsidR="00090EFB" w:rsidRDefault="00090EFB" w:rsidP="00090EFB">
      <w:pPr>
        <w:rPr>
          <w:b/>
          <w:sz w:val="24"/>
          <w:szCs w:val="24"/>
          <w:lang w:val="en-US"/>
        </w:rPr>
      </w:pPr>
    </w:p>
    <w:p w:rsidR="00090EFB" w:rsidRDefault="00090EFB" w:rsidP="00090EFB">
      <w:pPr>
        <w:ind w:left="1416" w:firstLine="708"/>
        <w:rPr>
          <w:b/>
          <w:sz w:val="24"/>
          <w:szCs w:val="24"/>
          <w:lang w:val="en-US"/>
        </w:rPr>
      </w:pPr>
      <w:r>
        <w:rPr>
          <w:b/>
          <w:sz w:val="24"/>
          <w:szCs w:val="24"/>
          <w:lang w:val="en-US"/>
        </w:rPr>
        <w:t xml:space="preserve">      Table 4</w:t>
      </w:r>
    </w:p>
    <w:p w:rsidR="00090EFB" w:rsidRPr="005C750D" w:rsidRDefault="00090EFB" w:rsidP="00090EFB">
      <w:pPr>
        <w:rPr>
          <w:b/>
          <w:sz w:val="24"/>
          <w:szCs w:val="24"/>
          <w:lang w:val="en-US"/>
        </w:rPr>
      </w:pPr>
      <w:r w:rsidRPr="005C750D">
        <w:rPr>
          <w:b/>
          <w:sz w:val="24"/>
          <w:szCs w:val="24"/>
          <w:lang w:val="en-US"/>
        </w:rPr>
        <w:t>Macroeconomic disequilibrium indicators, 2008-2013</w:t>
      </w:r>
    </w:p>
    <w:p w:rsidR="00090EFB" w:rsidRPr="005C750D" w:rsidRDefault="00090EFB" w:rsidP="00090EFB">
      <w:pPr>
        <w:rPr>
          <w:b/>
          <w:sz w:val="24"/>
          <w:szCs w:val="24"/>
          <w:lang w:val="en-US"/>
        </w:rPr>
      </w:pPr>
      <w:r w:rsidRPr="005C750D">
        <w:rPr>
          <w:b/>
          <w:sz w:val="24"/>
          <w:szCs w:val="24"/>
          <w:lang w:val="en-US"/>
        </w:rPr>
        <w:tab/>
        <w:t xml:space="preserve">(indexes 2007=100; and annual </w:t>
      </w:r>
      <w:r>
        <w:rPr>
          <w:b/>
          <w:sz w:val="24"/>
          <w:szCs w:val="24"/>
          <w:lang w:val="en-US"/>
        </w:rPr>
        <w:t xml:space="preserve">% </w:t>
      </w:r>
      <w:r w:rsidRPr="005C750D">
        <w:rPr>
          <w:b/>
          <w:sz w:val="24"/>
          <w:szCs w:val="24"/>
          <w:lang w:val="en-US"/>
        </w:rPr>
        <w:t>change)</w:t>
      </w:r>
    </w:p>
    <w:tbl>
      <w:tblPr>
        <w:tblW w:w="6353" w:type="dxa"/>
        <w:tblLayout w:type="fixed"/>
        <w:tblCellMar>
          <w:left w:w="70" w:type="dxa"/>
          <w:right w:w="70" w:type="dxa"/>
        </w:tblCellMar>
        <w:tblLook w:val="04A0" w:firstRow="1" w:lastRow="0" w:firstColumn="1" w:lastColumn="0" w:noHBand="0" w:noVBand="1"/>
      </w:tblPr>
      <w:tblGrid>
        <w:gridCol w:w="2830"/>
        <w:gridCol w:w="851"/>
        <w:gridCol w:w="851"/>
        <w:gridCol w:w="866"/>
        <w:gridCol w:w="955"/>
      </w:tblGrid>
      <w:tr w:rsidR="00090EFB" w:rsidRPr="005C750D" w:rsidTr="005E66F2">
        <w:trPr>
          <w:trHeight w:val="612"/>
        </w:trPr>
        <w:tc>
          <w:tcPr>
            <w:tcW w:w="2830" w:type="dxa"/>
            <w:tcBorders>
              <w:top w:val="single" w:sz="4" w:space="0" w:color="auto"/>
              <w:left w:val="single" w:sz="4" w:space="0" w:color="auto"/>
              <w:bottom w:val="nil"/>
              <w:right w:val="nil"/>
            </w:tcBorders>
            <w:shd w:val="clear" w:color="000000" w:fill="BFBFBF"/>
            <w:noWrap/>
            <w:vAlign w:val="bottom"/>
            <w:hideMark/>
          </w:tcPr>
          <w:p w:rsidR="00090EFB" w:rsidRPr="005C750D" w:rsidRDefault="00090EFB" w:rsidP="005E66F2">
            <w:pPr>
              <w:rPr>
                <w:rFonts w:ascii="Calibri" w:eastAsia="Times New Roman" w:hAnsi="Calibri"/>
                <w:b/>
                <w:color w:val="000000"/>
                <w:lang w:val="en-US" w:eastAsia="es-CL"/>
              </w:rPr>
            </w:pPr>
            <w:r w:rsidRPr="005C750D">
              <w:rPr>
                <w:rFonts w:ascii="Calibri" w:eastAsia="Times New Roman" w:hAnsi="Calibri"/>
                <w:b/>
                <w:color w:val="000000"/>
                <w:lang w:val="en-US" w:eastAsia="es-CL"/>
              </w:rPr>
              <w:t> </w:t>
            </w:r>
          </w:p>
        </w:tc>
        <w:tc>
          <w:tcPr>
            <w:tcW w:w="851" w:type="dxa"/>
            <w:tcBorders>
              <w:top w:val="single" w:sz="4" w:space="0" w:color="auto"/>
              <w:left w:val="nil"/>
              <w:bottom w:val="nil"/>
              <w:right w:val="nil"/>
            </w:tcBorders>
            <w:shd w:val="clear" w:color="000000" w:fill="BFBFBF"/>
            <w:noWrap/>
            <w:vAlign w:val="center"/>
            <w:hideMark/>
          </w:tcPr>
          <w:p w:rsidR="00090EFB" w:rsidRPr="005C750D" w:rsidRDefault="00090EFB" w:rsidP="005E66F2">
            <w:pPr>
              <w:jc w:val="center"/>
              <w:rPr>
                <w:rFonts w:ascii="Calibri" w:eastAsia="Times New Roman" w:hAnsi="Calibri"/>
                <w:b/>
                <w:color w:val="000000"/>
                <w:lang w:eastAsia="es-CL"/>
              </w:rPr>
            </w:pPr>
            <w:r w:rsidRPr="005C750D">
              <w:rPr>
                <w:rFonts w:ascii="Calibri" w:eastAsia="Times New Roman" w:hAnsi="Calibri"/>
                <w:b/>
                <w:color w:val="000000"/>
                <w:lang w:eastAsia="es-CL"/>
              </w:rPr>
              <w:t>2007</w:t>
            </w:r>
          </w:p>
        </w:tc>
        <w:tc>
          <w:tcPr>
            <w:tcW w:w="851" w:type="dxa"/>
            <w:tcBorders>
              <w:top w:val="single" w:sz="4" w:space="0" w:color="auto"/>
              <w:left w:val="nil"/>
              <w:bottom w:val="nil"/>
              <w:right w:val="nil"/>
            </w:tcBorders>
            <w:shd w:val="clear" w:color="000000" w:fill="BFBFBF"/>
            <w:noWrap/>
            <w:vAlign w:val="center"/>
            <w:hideMark/>
          </w:tcPr>
          <w:p w:rsidR="00090EFB" w:rsidRPr="005C750D" w:rsidRDefault="00090EFB" w:rsidP="005E66F2">
            <w:pPr>
              <w:jc w:val="center"/>
              <w:rPr>
                <w:rFonts w:ascii="Calibri" w:eastAsia="Times New Roman" w:hAnsi="Calibri"/>
                <w:b/>
                <w:color w:val="000000"/>
                <w:lang w:eastAsia="es-CL"/>
              </w:rPr>
            </w:pPr>
            <w:r w:rsidRPr="005C750D">
              <w:rPr>
                <w:rFonts w:ascii="Calibri" w:eastAsia="Times New Roman" w:hAnsi="Calibri"/>
                <w:b/>
                <w:color w:val="000000"/>
                <w:lang w:eastAsia="es-CL"/>
              </w:rPr>
              <w:t>2012</w:t>
            </w:r>
          </w:p>
        </w:tc>
        <w:tc>
          <w:tcPr>
            <w:tcW w:w="866" w:type="dxa"/>
            <w:tcBorders>
              <w:top w:val="single" w:sz="4" w:space="0" w:color="auto"/>
              <w:left w:val="nil"/>
              <w:bottom w:val="nil"/>
              <w:right w:val="nil"/>
            </w:tcBorders>
            <w:shd w:val="clear" w:color="000000" w:fill="BFBFBF"/>
            <w:noWrap/>
            <w:vAlign w:val="center"/>
            <w:hideMark/>
          </w:tcPr>
          <w:p w:rsidR="00090EFB" w:rsidRPr="005C750D" w:rsidRDefault="00090EFB" w:rsidP="005E66F2">
            <w:pPr>
              <w:jc w:val="center"/>
              <w:rPr>
                <w:rFonts w:ascii="Calibri" w:eastAsia="Times New Roman" w:hAnsi="Calibri"/>
                <w:b/>
                <w:color w:val="000000"/>
                <w:lang w:eastAsia="es-CL"/>
              </w:rPr>
            </w:pPr>
            <w:r w:rsidRPr="005C750D">
              <w:rPr>
                <w:rFonts w:ascii="Calibri" w:eastAsia="Times New Roman" w:hAnsi="Calibri"/>
                <w:b/>
                <w:color w:val="000000"/>
                <w:lang w:eastAsia="es-CL"/>
              </w:rPr>
              <w:t>2013</w:t>
            </w:r>
          </w:p>
        </w:tc>
        <w:tc>
          <w:tcPr>
            <w:tcW w:w="955" w:type="dxa"/>
            <w:tcBorders>
              <w:top w:val="single" w:sz="4" w:space="0" w:color="auto"/>
              <w:left w:val="nil"/>
              <w:bottom w:val="nil"/>
              <w:right w:val="single" w:sz="4" w:space="0" w:color="auto"/>
            </w:tcBorders>
            <w:shd w:val="clear" w:color="000000" w:fill="BFBFBF"/>
            <w:vAlign w:val="bottom"/>
            <w:hideMark/>
          </w:tcPr>
          <w:p w:rsidR="00432759" w:rsidRDefault="00090EFB" w:rsidP="005E66F2">
            <w:pPr>
              <w:jc w:val="center"/>
              <w:rPr>
                <w:rFonts w:ascii="Calibri" w:eastAsia="Times New Roman" w:hAnsi="Calibri"/>
                <w:b/>
                <w:color w:val="000000"/>
                <w:lang w:eastAsia="es-CL"/>
              </w:rPr>
            </w:pPr>
            <w:r w:rsidRPr="005C750D">
              <w:rPr>
                <w:rFonts w:ascii="Calibri" w:eastAsia="Times New Roman" w:hAnsi="Calibri"/>
                <w:b/>
                <w:color w:val="000000"/>
                <w:lang w:eastAsia="es-CL"/>
              </w:rPr>
              <w:t>Annual</w:t>
            </w:r>
          </w:p>
          <w:p w:rsidR="00090EFB" w:rsidRPr="005C750D" w:rsidRDefault="00090EFB" w:rsidP="005E66F2">
            <w:pPr>
              <w:jc w:val="center"/>
              <w:rPr>
                <w:rFonts w:ascii="Calibri" w:eastAsia="Times New Roman" w:hAnsi="Calibri"/>
                <w:b/>
                <w:color w:val="000000"/>
                <w:lang w:eastAsia="es-CL"/>
              </w:rPr>
            </w:pPr>
            <w:r w:rsidRPr="005C750D">
              <w:rPr>
                <w:rFonts w:ascii="Calibri" w:eastAsia="Times New Roman" w:hAnsi="Calibri"/>
                <w:b/>
                <w:color w:val="000000"/>
                <w:lang w:eastAsia="es-CL"/>
              </w:rPr>
              <w:t>average</w:t>
            </w:r>
          </w:p>
        </w:tc>
      </w:tr>
      <w:tr w:rsidR="00090EFB" w:rsidRPr="00AE5666" w:rsidTr="005E66F2">
        <w:trPr>
          <w:trHeight w:val="306"/>
        </w:trPr>
        <w:tc>
          <w:tcPr>
            <w:tcW w:w="2830" w:type="dxa"/>
            <w:tcBorders>
              <w:top w:val="single" w:sz="4" w:space="0" w:color="auto"/>
              <w:left w:val="single" w:sz="4" w:space="0" w:color="auto"/>
              <w:bottom w:val="nil"/>
              <w:right w:val="nil"/>
            </w:tcBorders>
            <w:shd w:val="clear" w:color="000000" w:fill="FFFFFF"/>
            <w:noWrap/>
            <w:vAlign w:val="bottom"/>
            <w:hideMark/>
          </w:tcPr>
          <w:p w:rsidR="00090EFB" w:rsidRPr="00AE5666" w:rsidRDefault="00090EFB" w:rsidP="005E66F2">
            <w:pPr>
              <w:rPr>
                <w:rFonts w:eastAsia="Times New Roman"/>
                <w:color w:val="000000"/>
                <w:lang w:eastAsia="es-CL"/>
              </w:rPr>
            </w:pPr>
            <w:r w:rsidRPr="00AE5666">
              <w:rPr>
                <w:rFonts w:eastAsia="Times New Roman"/>
                <w:color w:val="000000"/>
                <w:lang w:eastAsia="es-CL"/>
              </w:rPr>
              <w:t>1</w:t>
            </w:r>
            <w:r>
              <w:rPr>
                <w:rFonts w:eastAsia="Times New Roman"/>
                <w:color w:val="000000"/>
                <w:lang w:eastAsia="es-CL"/>
              </w:rPr>
              <w:t xml:space="preserve">. GDP </w:t>
            </w:r>
          </w:p>
        </w:tc>
        <w:tc>
          <w:tcPr>
            <w:tcW w:w="851" w:type="dxa"/>
            <w:tcBorders>
              <w:top w:val="single" w:sz="4" w:space="0" w:color="auto"/>
              <w:left w:val="single" w:sz="4" w:space="0" w:color="auto"/>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10</w:t>
            </w:r>
            <w:r>
              <w:rPr>
                <w:rFonts w:eastAsia="Times New Roman"/>
                <w:lang w:eastAsia="es-CL"/>
              </w:rPr>
              <w:t>0.0</w:t>
            </w:r>
          </w:p>
        </w:tc>
        <w:tc>
          <w:tcPr>
            <w:tcW w:w="851" w:type="dxa"/>
            <w:tcBorders>
              <w:top w:val="single" w:sz="4" w:space="0" w:color="auto"/>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121.0</w:t>
            </w:r>
          </w:p>
        </w:tc>
        <w:tc>
          <w:tcPr>
            <w:tcW w:w="866" w:type="dxa"/>
            <w:tcBorders>
              <w:top w:val="single" w:sz="4" w:space="0" w:color="auto"/>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125.9</w:t>
            </w:r>
          </w:p>
        </w:tc>
        <w:tc>
          <w:tcPr>
            <w:tcW w:w="955" w:type="dxa"/>
            <w:tcBorders>
              <w:top w:val="single" w:sz="4" w:space="0" w:color="auto"/>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3.9</w:t>
            </w:r>
          </w:p>
        </w:tc>
      </w:tr>
      <w:tr w:rsidR="00090EFB" w:rsidRPr="00AE5666" w:rsidTr="005E66F2">
        <w:trPr>
          <w:trHeight w:val="306"/>
        </w:trPr>
        <w:tc>
          <w:tcPr>
            <w:tcW w:w="2830" w:type="dxa"/>
            <w:tcBorders>
              <w:top w:val="nil"/>
              <w:left w:val="single" w:sz="4" w:space="0" w:color="auto"/>
              <w:bottom w:val="nil"/>
              <w:right w:val="nil"/>
            </w:tcBorders>
            <w:shd w:val="clear" w:color="000000" w:fill="FFFFFF"/>
            <w:noWrap/>
            <w:vAlign w:val="bottom"/>
            <w:hideMark/>
          </w:tcPr>
          <w:p w:rsidR="00090EFB" w:rsidRPr="00AE5666" w:rsidRDefault="00090EFB" w:rsidP="005E66F2">
            <w:pPr>
              <w:rPr>
                <w:rFonts w:eastAsia="Times New Roman"/>
                <w:color w:val="000000"/>
                <w:lang w:eastAsia="es-CL"/>
              </w:rPr>
            </w:pPr>
            <w:r w:rsidRPr="00AE5666">
              <w:rPr>
                <w:rFonts w:eastAsia="Times New Roman"/>
                <w:color w:val="000000"/>
                <w:lang w:eastAsia="es-CL"/>
              </w:rPr>
              <w:t>2.</w:t>
            </w:r>
            <w:r>
              <w:rPr>
                <w:rFonts w:eastAsia="Times New Roman"/>
                <w:color w:val="000000"/>
                <w:lang w:eastAsia="es-CL"/>
              </w:rPr>
              <w:t xml:space="preserve"> Quantum of exports</w:t>
            </w:r>
          </w:p>
        </w:tc>
        <w:tc>
          <w:tcPr>
            <w:tcW w:w="851" w:type="dxa"/>
            <w:tcBorders>
              <w:top w:val="nil"/>
              <w:left w:val="single" w:sz="4" w:space="0" w:color="auto"/>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Pr>
                <w:rFonts w:eastAsia="Times New Roman"/>
                <w:lang w:eastAsia="es-CL"/>
              </w:rPr>
              <w:t>100.0</w:t>
            </w:r>
          </w:p>
        </w:tc>
        <w:tc>
          <w:tcPr>
            <w:tcW w:w="851" w:type="dxa"/>
            <w:tcBorders>
              <w:top w:val="nil"/>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103.0</w:t>
            </w:r>
          </w:p>
        </w:tc>
        <w:tc>
          <w:tcPr>
            <w:tcW w:w="866" w:type="dxa"/>
            <w:tcBorders>
              <w:top w:val="nil"/>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107.9</w:t>
            </w:r>
          </w:p>
        </w:tc>
        <w:tc>
          <w:tcPr>
            <w:tcW w:w="955" w:type="dxa"/>
            <w:tcBorders>
              <w:top w:val="nil"/>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1.3</w:t>
            </w:r>
          </w:p>
        </w:tc>
      </w:tr>
      <w:tr w:rsidR="00090EFB" w:rsidRPr="00AE5666" w:rsidTr="005E66F2">
        <w:trPr>
          <w:trHeight w:val="306"/>
        </w:trPr>
        <w:tc>
          <w:tcPr>
            <w:tcW w:w="2830" w:type="dxa"/>
            <w:tcBorders>
              <w:top w:val="nil"/>
              <w:left w:val="single" w:sz="4" w:space="0" w:color="auto"/>
              <w:bottom w:val="nil"/>
              <w:right w:val="nil"/>
            </w:tcBorders>
            <w:shd w:val="clear" w:color="000000" w:fill="FFFFFF"/>
            <w:noWrap/>
            <w:vAlign w:val="bottom"/>
            <w:hideMark/>
          </w:tcPr>
          <w:p w:rsidR="00090EFB" w:rsidRPr="00AE5666" w:rsidRDefault="00090EFB" w:rsidP="005E66F2">
            <w:pPr>
              <w:rPr>
                <w:rFonts w:eastAsia="Times New Roman"/>
                <w:color w:val="000000"/>
                <w:lang w:eastAsia="es-CL"/>
              </w:rPr>
            </w:pPr>
            <w:r>
              <w:rPr>
                <w:rFonts w:eastAsia="Times New Roman"/>
                <w:color w:val="000000"/>
                <w:lang w:eastAsia="es-CL"/>
              </w:rPr>
              <w:t>3</w:t>
            </w:r>
            <w:r w:rsidRPr="00AE5666">
              <w:rPr>
                <w:rFonts w:eastAsia="Times New Roman"/>
                <w:color w:val="000000"/>
                <w:lang w:eastAsia="es-CL"/>
              </w:rPr>
              <w:t>.</w:t>
            </w:r>
            <w:r>
              <w:rPr>
                <w:rFonts w:eastAsia="Times New Roman"/>
                <w:color w:val="000000"/>
                <w:lang w:eastAsia="es-CL"/>
              </w:rPr>
              <w:t xml:space="preserve"> Quantum of imports</w:t>
            </w:r>
          </w:p>
        </w:tc>
        <w:tc>
          <w:tcPr>
            <w:tcW w:w="851" w:type="dxa"/>
            <w:tcBorders>
              <w:top w:val="nil"/>
              <w:left w:val="single" w:sz="4" w:space="0" w:color="auto"/>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Pr>
                <w:rFonts w:eastAsia="Times New Roman"/>
                <w:lang w:eastAsia="es-CL"/>
              </w:rPr>
              <w:t>100.0</w:t>
            </w:r>
          </w:p>
        </w:tc>
        <w:tc>
          <w:tcPr>
            <w:tcW w:w="851" w:type="dxa"/>
            <w:tcBorders>
              <w:top w:val="nil"/>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140.9</w:t>
            </w:r>
          </w:p>
        </w:tc>
        <w:tc>
          <w:tcPr>
            <w:tcW w:w="866" w:type="dxa"/>
            <w:tcBorders>
              <w:top w:val="nil"/>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145.6</w:t>
            </w:r>
          </w:p>
        </w:tc>
        <w:tc>
          <w:tcPr>
            <w:tcW w:w="955" w:type="dxa"/>
            <w:tcBorders>
              <w:top w:val="nil"/>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6.5</w:t>
            </w:r>
          </w:p>
        </w:tc>
      </w:tr>
      <w:tr w:rsidR="00090EFB" w:rsidRPr="00AE5666" w:rsidTr="005E66F2">
        <w:trPr>
          <w:trHeight w:val="306"/>
        </w:trPr>
        <w:tc>
          <w:tcPr>
            <w:tcW w:w="2830" w:type="dxa"/>
            <w:tcBorders>
              <w:top w:val="nil"/>
              <w:left w:val="single" w:sz="4" w:space="0" w:color="auto"/>
              <w:bottom w:val="nil"/>
              <w:right w:val="nil"/>
            </w:tcBorders>
            <w:shd w:val="clear" w:color="000000" w:fill="FFFFFF"/>
            <w:noWrap/>
            <w:vAlign w:val="bottom"/>
            <w:hideMark/>
          </w:tcPr>
          <w:p w:rsidR="00090EFB" w:rsidRPr="00AE5666" w:rsidRDefault="00090EFB" w:rsidP="005E66F2">
            <w:pPr>
              <w:rPr>
                <w:rFonts w:eastAsia="Times New Roman"/>
                <w:color w:val="000000"/>
                <w:lang w:eastAsia="es-CL"/>
              </w:rPr>
            </w:pPr>
            <w:r>
              <w:rPr>
                <w:rFonts w:eastAsia="Times New Roman"/>
                <w:color w:val="000000"/>
                <w:lang w:eastAsia="es-CL"/>
              </w:rPr>
              <w:t>4</w:t>
            </w:r>
            <w:r w:rsidRPr="00AE5666">
              <w:rPr>
                <w:rFonts w:eastAsia="Times New Roman"/>
                <w:color w:val="000000"/>
                <w:lang w:eastAsia="es-CL"/>
              </w:rPr>
              <w:t>.</w:t>
            </w:r>
            <w:r>
              <w:rPr>
                <w:rFonts w:eastAsia="Times New Roman"/>
                <w:color w:val="000000"/>
                <w:lang w:eastAsia="es-CL"/>
              </w:rPr>
              <w:t xml:space="preserve"> Real fiscal expenditure</w:t>
            </w:r>
          </w:p>
        </w:tc>
        <w:tc>
          <w:tcPr>
            <w:tcW w:w="851" w:type="dxa"/>
            <w:tcBorders>
              <w:top w:val="nil"/>
              <w:left w:val="single" w:sz="4" w:space="0" w:color="auto"/>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10</w:t>
            </w:r>
            <w:r>
              <w:rPr>
                <w:rFonts w:eastAsia="Times New Roman"/>
                <w:lang w:eastAsia="es-CL"/>
              </w:rPr>
              <w:t>0.0</w:t>
            </w:r>
          </w:p>
        </w:tc>
        <w:tc>
          <w:tcPr>
            <w:tcW w:w="851" w:type="dxa"/>
            <w:tcBorders>
              <w:top w:val="nil"/>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146.6</w:t>
            </w:r>
          </w:p>
        </w:tc>
        <w:tc>
          <w:tcPr>
            <w:tcW w:w="866" w:type="dxa"/>
            <w:tcBorders>
              <w:top w:val="nil"/>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153.1</w:t>
            </w:r>
          </w:p>
        </w:tc>
        <w:tc>
          <w:tcPr>
            <w:tcW w:w="955" w:type="dxa"/>
            <w:tcBorders>
              <w:top w:val="nil"/>
              <w:left w:val="nil"/>
              <w:bottom w:val="nil"/>
              <w:right w:val="single" w:sz="4" w:space="0" w:color="auto"/>
            </w:tcBorders>
            <w:shd w:val="clear" w:color="000000" w:fill="FFFFFF"/>
            <w:vAlign w:val="bottom"/>
            <w:hideMark/>
          </w:tcPr>
          <w:p w:rsidR="00090EFB" w:rsidRPr="00AE5666" w:rsidRDefault="00090EFB" w:rsidP="005E66F2">
            <w:pPr>
              <w:jc w:val="center"/>
              <w:rPr>
                <w:rFonts w:eastAsia="Times New Roman"/>
                <w:lang w:eastAsia="es-CL"/>
              </w:rPr>
            </w:pPr>
            <w:r w:rsidRPr="00AE5666">
              <w:rPr>
                <w:rFonts w:eastAsia="Times New Roman"/>
                <w:lang w:eastAsia="es-CL"/>
              </w:rPr>
              <w:t>7.4</w:t>
            </w:r>
          </w:p>
        </w:tc>
      </w:tr>
      <w:tr w:rsidR="00090EFB" w:rsidRPr="001935CD" w:rsidTr="005E66F2">
        <w:trPr>
          <w:trHeight w:val="306"/>
        </w:trPr>
        <w:tc>
          <w:tcPr>
            <w:tcW w:w="2830" w:type="dxa"/>
            <w:tcBorders>
              <w:top w:val="nil"/>
              <w:left w:val="single" w:sz="4" w:space="0" w:color="auto"/>
              <w:bottom w:val="nil"/>
              <w:right w:val="nil"/>
            </w:tcBorders>
            <w:shd w:val="clear" w:color="000000" w:fill="FFFFFF"/>
            <w:noWrap/>
            <w:vAlign w:val="bottom"/>
            <w:hideMark/>
          </w:tcPr>
          <w:p w:rsidR="00090EFB" w:rsidRDefault="00090EFB" w:rsidP="005E66F2">
            <w:pPr>
              <w:rPr>
                <w:rFonts w:eastAsia="Times New Roman"/>
                <w:color w:val="000000"/>
                <w:lang w:val="en-US" w:eastAsia="es-CL"/>
              </w:rPr>
            </w:pPr>
            <w:r>
              <w:rPr>
                <w:rFonts w:eastAsia="Times New Roman"/>
                <w:color w:val="000000"/>
                <w:lang w:val="en-US" w:eastAsia="es-CL"/>
              </w:rPr>
              <w:t>5. Real fiscal non-copper income</w:t>
            </w:r>
          </w:p>
        </w:tc>
        <w:tc>
          <w:tcPr>
            <w:tcW w:w="851" w:type="dxa"/>
            <w:tcBorders>
              <w:top w:val="nil"/>
              <w:left w:val="single" w:sz="4" w:space="0" w:color="auto"/>
              <w:bottom w:val="nil"/>
              <w:right w:val="single" w:sz="4" w:space="0" w:color="auto"/>
            </w:tcBorders>
            <w:shd w:val="clear" w:color="000000" w:fill="FFFFFF"/>
            <w:vAlign w:val="bottom"/>
            <w:hideMark/>
          </w:tcPr>
          <w:p w:rsidR="00090EFB" w:rsidRPr="001935CD" w:rsidRDefault="00090EFB" w:rsidP="005E66F2">
            <w:pPr>
              <w:jc w:val="center"/>
              <w:rPr>
                <w:rFonts w:eastAsia="Times New Roman"/>
                <w:lang w:eastAsia="es-CL"/>
              </w:rPr>
            </w:pPr>
            <w:r>
              <w:rPr>
                <w:rFonts w:eastAsia="Times New Roman"/>
                <w:lang w:eastAsia="es-CL"/>
              </w:rPr>
              <w:t>100.0</w:t>
            </w:r>
          </w:p>
        </w:tc>
        <w:tc>
          <w:tcPr>
            <w:tcW w:w="851" w:type="dxa"/>
            <w:tcBorders>
              <w:top w:val="nil"/>
              <w:left w:val="nil"/>
              <w:bottom w:val="nil"/>
              <w:right w:val="single" w:sz="4" w:space="0" w:color="auto"/>
            </w:tcBorders>
            <w:shd w:val="clear" w:color="000000" w:fill="FFFFFF"/>
            <w:vAlign w:val="bottom"/>
            <w:hideMark/>
          </w:tcPr>
          <w:p w:rsidR="00090EFB" w:rsidRPr="001935CD" w:rsidRDefault="00090EFB" w:rsidP="005E66F2">
            <w:pPr>
              <w:jc w:val="center"/>
              <w:rPr>
                <w:rFonts w:eastAsia="Times New Roman"/>
                <w:lang w:eastAsia="es-CL"/>
              </w:rPr>
            </w:pPr>
            <w:r>
              <w:rPr>
                <w:rFonts w:eastAsia="Times New Roman"/>
                <w:lang w:eastAsia="es-CL"/>
              </w:rPr>
              <w:t>132.3</w:t>
            </w:r>
          </w:p>
        </w:tc>
        <w:tc>
          <w:tcPr>
            <w:tcW w:w="866" w:type="dxa"/>
            <w:tcBorders>
              <w:top w:val="nil"/>
              <w:left w:val="nil"/>
              <w:bottom w:val="nil"/>
              <w:right w:val="single" w:sz="4" w:space="0" w:color="auto"/>
            </w:tcBorders>
            <w:shd w:val="clear" w:color="000000" w:fill="FFFFFF"/>
            <w:vAlign w:val="bottom"/>
            <w:hideMark/>
          </w:tcPr>
          <w:p w:rsidR="00090EFB" w:rsidRPr="001935CD" w:rsidRDefault="00090EFB" w:rsidP="005E66F2">
            <w:pPr>
              <w:jc w:val="center"/>
              <w:rPr>
                <w:rFonts w:eastAsia="Times New Roman"/>
                <w:lang w:eastAsia="es-CL"/>
              </w:rPr>
            </w:pPr>
            <w:r>
              <w:rPr>
                <w:rFonts w:eastAsia="Times New Roman"/>
                <w:lang w:eastAsia="es-CL"/>
              </w:rPr>
              <w:t>136.1</w:t>
            </w:r>
          </w:p>
        </w:tc>
        <w:tc>
          <w:tcPr>
            <w:tcW w:w="955" w:type="dxa"/>
            <w:tcBorders>
              <w:top w:val="nil"/>
              <w:left w:val="nil"/>
              <w:bottom w:val="nil"/>
              <w:right w:val="single" w:sz="4" w:space="0" w:color="auto"/>
            </w:tcBorders>
            <w:shd w:val="clear" w:color="000000" w:fill="FFFFFF"/>
            <w:vAlign w:val="bottom"/>
            <w:hideMark/>
          </w:tcPr>
          <w:p w:rsidR="00090EFB" w:rsidRPr="001935CD" w:rsidRDefault="00090EFB" w:rsidP="005E66F2">
            <w:pPr>
              <w:jc w:val="center"/>
              <w:rPr>
                <w:rFonts w:eastAsia="Times New Roman"/>
                <w:lang w:eastAsia="es-CL"/>
              </w:rPr>
            </w:pPr>
            <w:r>
              <w:rPr>
                <w:rFonts w:eastAsia="Times New Roman"/>
                <w:lang w:eastAsia="es-CL"/>
              </w:rPr>
              <w:t>5.3</w:t>
            </w:r>
          </w:p>
        </w:tc>
      </w:tr>
      <w:tr w:rsidR="00090EFB" w:rsidRPr="001935CD" w:rsidTr="005E66F2">
        <w:trPr>
          <w:trHeight w:val="306"/>
        </w:trPr>
        <w:tc>
          <w:tcPr>
            <w:tcW w:w="2830" w:type="dxa"/>
            <w:tcBorders>
              <w:top w:val="nil"/>
              <w:left w:val="single" w:sz="4" w:space="0" w:color="auto"/>
              <w:bottom w:val="single" w:sz="4" w:space="0" w:color="auto"/>
              <w:right w:val="nil"/>
            </w:tcBorders>
            <w:shd w:val="clear" w:color="000000" w:fill="FFFFFF"/>
            <w:noWrap/>
            <w:vAlign w:val="bottom"/>
            <w:hideMark/>
          </w:tcPr>
          <w:p w:rsidR="00090EFB" w:rsidRPr="001935CD" w:rsidRDefault="00090EFB" w:rsidP="005E66F2">
            <w:pPr>
              <w:rPr>
                <w:rFonts w:ascii="Calibri" w:eastAsia="Times New Roman" w:hAnsi="Calibri"/>
                <w:color w:val="000000"/>
                <w:lang w:eastAsia="es-CL"/>
              </w:rPr>
            </w:pPr>
            <w:r>
              <w:rPr>
                <w:rFonts w:ascii="Calibri" w:eastAsia="Times New Roman" w:hAnsi="Calibri"/>
                <w:color w:val="000000"/>
                <w:lang w:eastAsia="es-CL"/>
              </w:rPr>
              <w:t xml:space="preserve">6. </w:t>
            </w:r>
            <w:r w:rsidR="00333DC7">
              <w:rPr>
                <w:rFonts w:eastAsia="Times New Roman"/>
                <w:color w:val="000000"/>
                <w:lang w:eastAsia="es-CL"/>
              </w:rPr>
              <w:t>Domestic demand</w:t>
            </w:r>
          </w:p>
        </w:tc>
        <w:tc>
          <w:tcPr>
            <w:tcW w:w="851" w:type="dxa"/>
            <w:tcBorders>
              <w:top w:val="nil"/>
              <w:left w:val="single" w:sz="4" w:space="0" w:color="auto"/>
              <w:bottom w:val="single" w:sz="4" w:space="0" w:color="auto"/>
              <w:right w:val="single" w:sz="4" w:space="0" w:color="auto"/>
            </w:tcBorders>
            <w:shd w:val="clear" w:color="000000" w:fill="FFFFFF"/>
            <w:vAlign w:val="bottom"/>
            <w:hideMark/>
          </w:tcPr>
          <w:p w:rsidR="00090EFB" w:rsidRPr="001935CD" w:rsidRDefault="00090EFB" w:rsidP="005E66F2">
            <w:pPr>
              <w:jc w:val="center"/>
              <w:rPr>
                <w:rFonts w:eastAsia="Times New Roman"/>
                <w:lang w:eastAsia="es-CL"/>
              </w:rPr>
            </w:pPr>
            <w:r>
              <w:rPr>
                <w:rFonts w:eastAsia="Times New Roman"/>
                <w:lang w:eastAsia="es-CL"/>
              </w:rPr>
              <w:t>100.0</w:t>
            </w:r>
          </w:p>
        </w:tc>
        <w:tc>
          <w:tcPr>
            <w:tcW w:w="851" w:type="dxa"/>
            <w:tcBorders>
              <w:top w:val="nil"/>
              <w:left w:val="nil"/>
              <w:bottom w:val="single" w:sz="4" w:space="0" w:color="auto"/>
              <w:right w:val="single" w:sz="4" w:space="0" w:color="auto"/>
            </w:tcBorders>
            <w:shd w:val="clear" w:color="000000" w:fill="FFFFFF"/>
            <w:vAlign w:val="bottom"/>
            <w:hideMark/>
          </w:tcPr>
          <w:p w:rsidR="00090EFB" w:rsidRPr="001935CD" w:rsidRDefault="00090EFB" w:rsidP="005E66F2">
            <w:pPr>
              <w:jc w:val="center"/>
              <w:rPr>
                <w:rFonts w:eastAsia="Times New Roman"/>
                <w:lang w:eastAsia="es-CL"/>
              </w:rPr>
            </w:pPr>
            <w:r>
              <w:rPr>
                <w:rFonts w:eastAsia="Times New Roman"/>
                <w:lang w:eastAsia="es-CL"/>
              </w:rPr>
              <w:t>135.6</w:t>
            </w:r>
          </w:p>
        </w:tc>
        <w:tc>
          <w:tcPr>
            <w:tcW w:w="866" w:type="dxa"/>
            <w:tcBorders>
              <w:top w:val="nil"/>
              <w:left w:val="nil"/>
              <w:bottom w:val="single" w:sz="4" w:space="0" w:color="auto"/>
              <w:right w:val="single" w:sz="4" w:space="0" w:color="auto"/>
            </w:tcBorders>
            <w:shd w:val="clear" w:color="000000" w:fill="FFFFFF"/>
            <w:vAlign w:val="bottom"/>
            <w:hideMark/>
          </w:tcPr>
          <w:p w:rsidR="00090EFB" w:rsidRPr="001935CD" w:rsidRDefault="00090EFB" w:rsidP="005E66F2">
            <w:pPr>
              <w:jc w:val="center"/>
              <w:rPr>
                <w:rFonts w:eastAsia="Times New Roman"/>
                <w:lang w:eastAsia="es-CL"/>
              </w:rPr>
            </w:pPr>
            <w:r>
              <w:rPr>
                <w:rFonts w:eastAsia="Times New Roman"/>
                <w:lang w:eastAsia="es-CL"/>
              </w:rPr>
              <w:t>140.2</w:t>
            </w:r>
          </w:p>
        </w:tc>
        <w:tc>
          <w:tcPr>
            <w:tcW w:w="955" w:type="dxa"/>
            <w:tcBorders>
              <w:top w:val="nil"/>
              <w:left w:val="nil"/>
              <w:bottom w:val="single" w:sz="4" w:space="0" w:color="auto"/>
              <w:right w:val="single" w:sz="4" w:space="0" w:color="auto"/>
            </w:tcBorders>
            <w:shd w:val="clear" w:color="000000" w:fill="FFFFFF"/>
            <w:vAlign w:val="bottom"/>
            <w:hideMark/>
          </w:tcPr>
          <w:p w:rsidR="00090EFB" w:rsidRPr="001935CD" w:rsidRDefault="00090EFB" w:rsidP="005E66F2">
            <w:pPr>
              <w:jc w:val="center"/>
              <w:rPr>
                <w:rFonts w:eastAsia="Times New Roman"/>
                <w:lang w:eastAsia="es-CL"/>
              </w:rPr>
            </w:pPr>
            <w:r>
              <w:rPr>
                <w:rFonts w:eastAsia="Times New Roman"/>
                <w:lang w:eastAsia="es-CL"/>
              </w:rPr>
              <w:t>5.8</w:t>
            </w:r>
          </w:p>
        </w:tc>
      </w:tr>
    </w:tbl>
    <w:p w:rsidR="0058150A" w:rsidRDefault="00090EFB" w:rsidP="00090EFB">
      <w:pPr>
        <w:jc w:val="both"/>
        <w:rPr>
          <w:sz w:val="18"/>
          <w:lang w:val="en-US"/>
        </w:rPr>
      </w:pPr>
      <w:r>
        <w:rPr>
          <w:b/>
          <w:sz w:val="18"/>
          <w:lang w:val="en-US"/>
        </w:rPr>
        <w:t>Source:</w:t>
      </w:r>
      <w:r>
        <w:rPr>
          <w:sz w:val="18"/>
          <w:lang w:val="en-US"/>
        </w:rPr>
        <w:t xml:space="preserve"> Abridged from Ffrench-Davis (2014, table X.5). </w:t>
      </w:r>
      <w:r w:rsidR="0058150A">
        <w:rPr>
          <w:sz w:val="18"/>
          <w:lang w:val="en-US"/>
        </w:rPr>
        <w:t>Updated to 2013, b</w:t>
      </w:r>
      <w:r>
        <w:rPr>
          <w:sz w:val="18"/>
          <w:lang w:val="en-US"/>
        </w:rPr>
        <w:t xml:space="preserve">ased on </w:t>
      </w:r>
    </w:p>
    <w:p w:rsidR="0058150A" w:rsidRDefault="00090EFB" w:rsidP="00090EFB">
      <w:pPr>
        <w:jc w:val="both"/>
        <w:rPr>
          <w:sz w:val="18"/>
          <w:lang w:val="en-US"/>
        </w:rPr>
      </w:pPr>
      <w:r>
        <w:rPr>
          <w:sz w:val="18"/>
          <w:lang w:val="en-US"/>
        </w:rPr>
        <w:t>Central Bank</w:t>
      </w:r>
      <w:r w:rsidR="0058150A">
        <w:rPr>
          <w:sz w:val="18"/>
          <w:lang w:val="en-US"/>
        </w:rPr>
        <w:t xml:space="preserve"> </w:t>
      </w:r>
      <w:r>
        <w:rPr>
          <w:sz w:val="18"/>
          <w:lang w:val="en-US"/>
        </w:rPr>
        <w:t>figures for GDP, exports, imports and domestic</w:t>
      </w:r>
      <w:r w:rsidRPr="003C3AFD">
        <w:rPr>
          <w:sz w:val="18"/>
          <w:lang w:val="en-US"/>
        </w:rPr>
        <w:t xml:space="preserve"> demand</w:t>
      </w:r>
      <w:r>
        <w:rPr>
          <w:sz w:val="18"/>
          <w:lang w:val="en-US"/>
        </w:rPr>
        <w:t>; obtained</w:t>
      </w:r>
      <w:r w:rsidRPr="003C3AFD">
        <w:rPr>
          <w:sz w:val="18"/>
          <w:lang w:val="en-US"/>
        </w:rPr>
        <w:t xml:space="preserve"> from</w:t>
      </w:r>
      <w:r w:rsidR="0058150A">
        <w:rPr>
          <w:sz w:val="18"/>
          <w:lang w:val="en-US"/>
        </w:rPr>
        <w:t xml:space="preserve"> </w:t>
      </w:r>
    </w:p>
    <w:p w:rsidR="00CB72FF" w:rsidRDefault="00090EFB" w:rsidP="00090EFB">
      <w:pPr>
        <w:jc w:val="both"/>
        <w:rPr>
          <w:sz w:val="18"/>
          <w:lang w:val="en-US"/>
        </w:rPr>
      </w:pPr>
      <w:r w:rsidRPr="003C3AFD">
        <w:rPr>
          <w:sz w:val="18"/>
          <w:lang w:val="en-US"/>
        </w:rPr>
        <w:t>the chained</w:t>
      </w:r>
      <w:r w:rsidR="0058150A">
        <w:rPr>
          <w:sz w:val="18"/>
          <w:lang w:val="en-US"/>
        </w:rPr>
        <w:t xml:space="preserve"> </w:t>
      </w:r>
      <w:r w:rsidRPr="003C3AFD">
        <w:rPr>
          <w:sz w:val="18"/>
          <w:lang w:val="en-US"/>
        </w:rPr>
        <w:t xml:space="preserve">base, reference 2008 series. Nominal fiscal figures from </w:t>
      </w:r>
      <w:r>
        <w:rPr>
          <w:sz w:val="18"/>
          <w:lang w:val="en-US"/>
        </w:rPr>
        <w:t>the Budget Office</w:t>
      </w:r>
      <w:r w:rsidRPr="003C3AFD">
        <w:rPr>
          <w:sz w:val="18"/>
          <w:lang w:val="en-US"/>
        </w:rPr>
        <w:t xml:space="preserve">, </w:t>
      </w:r>
    </w:p>
    <w:p w:rsidR="00090EFB" w:rsidRDefault="00090EFB" w:rsidP="00090EFB">
      <w:pPr>
        <w:jc w:val="both"/>
        <w:rPr>
          <w:sz w:val="18"/>
          <w:lang w:val="en-US"/>
        </w:rPr>
      </w:pPr>
      <w:r w:rsidRPr="003C3AFD">
        <w:rPr>
          <w:sz w:val="18"/>
          <w:lang w:val="en-US"/>
        </w:rPr>
        <w:t>deflated</w:t>
      </w:r>
      <w:r w:rsidR="00CB72FF">
        <w:rPr>
          <w:sz w:val="18"/>
          <w:lang w:val="en-US"/>
        </w:rPr>
        <w:t xml:space="preserve"> </w:t>
      </w:r>
      <w:r w:rsidRPr="003C3AFD">
        <w:rPr>
          <w:sz w:val="18"/>
          <w:lang w:val="en-US"/>
        </w:rPr>
        <w:t xml:space="preserve">by the annual average CPI, here scaled to 2007=100; rows </w:t>
      </w:r>
      <w:r>
        <w:rPr>
          <w:sz w:val="18"/>
          <w:lang w:val="en-US"/>
        </w:rPr>
        <w:t xml:space="preserve">4 and </w:t>
      </w:r>
      <w:r w:rsidRPr="003C3AFD">
        <w:rPr>
          <w:sz w:val="18"/>
          <w:lang w:val="en-US"/>
        </w:rPr>
        <w:t xml:space="preserve">5 correspond </w:t>
      </w:r>
    </w:p>
    <w:p w:rsidR="00090EFB" w:rsidRPr="003C3AFD" w:rsidRDefault="00090EFB" w:rsidP="00090EFB">
      <w:pPr>
        <w:jc w:val="both"/>
        <w:rPr>
          <w:sz w:val="18"/>
          <w:lang w:val="en-US"/>
        </w:rPr>
      </w:pPr>
      <w:r w:rsidRPr="003C3AFD">
        <w:rPr>
          <w:sz w:val="18"/>
          <w:lang w:val="en-US"/>
        </w:rPr>
        <w:t>to the central government</w:t>
      </w:r>
      <w:r>
        <w:rPr>
          <w:sz w:val="18"/>
          <w:lang w:val="en-US"/>
        </w:rPr>
        <w:t>.</w:t>
      </w:r>
    </w:p>
    <w:p w:rsidR="00090EFB" w:rsidRPr="003C3AFD" w:rsidRDefault="00090EFB" w:rsidP="00090EFB">
      <w:pPr>
        <w:jc w:val="both"/>
        <w:rPr>
          <w:sz w:val="18"/>
          <w:lang w:val="en-US"/>
        </w:rPr>
      </w:pPr>
      <w:r w:rsidRPr="003C3AFD">
        <w:rPr>
          <w:sz w:val="18"/>
          <w:lang w:val="en-US"/>
        </w:rPr>
        <w:t>.</w:t>
      </w:r>
    </w:p>
    <w:p w:rsidR="00090EFB" w:rsidRDefault="00090EFB" w:rsidP="00090EFB">
      <w:pPr>
        <w:jc w:val="both"/>
        <w:rPr>
          <w:sz w:val="18"/>
          <w:lang w:val="en-US"/>
        </w:rPr>
      </w:pPr>
    </w:p>
    <w:p w:rsidR="00090EFB" w:rsidRDefault="00090EFB" w:rsidP="00090EFB">
      <w:pPr>
        <w:jc w:val="both"/>
        <w:rPr>
          <w:sz w:val="18"/>
          <w:lang w:val="en-US"/>
        </w:rPr>
      </w:pPr>
    </w:p>
    <w:p w:rsidR="00090EFB" w:rsidRDefault="00090EFB" w:rsidP="00090EFB">
      <w:pPr>
        <w:jc w:val="both"/>
        <w:rPr>
          <w:sz w:val="18"/>
          <w:lang w:val="en-US"/>
        </w:rPr>
      </w:pPr>
    </w:p>
    <w:p w:rsidR="00090EFB" w:rsidRDefault="00090EFB" w:rsidP="00090EFB">
      <w:pPr>
        <w:jc w:val="both"/>
        <w:rPr>
          <w:sz w:val="18"/>
          <w:lang w:val="en-US"/>
        </w:rPr>
      </w:pPr>
    </w:p>
    <w:p w:rsidR="00C41AB4" w:rsidRPr="001935CD" w:rsidRDefault="00C41AB4">
      <w:pPr>
        <w:spacing w:line="360" w:lineRule="auto"/>
        <w:rPr>
          <w:sz w:val="22"/>
          <w:szCs w:val="22"/>
          <w:lang w:val="en-US"/>
        </w:rPr>
      </w:pPr>
    </w:p>
    <w:sectPr w:rsidR="00C41AB4" w:rsidRPr="001935CD" w:rsidSect="0085144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FF" w:rsidRDefault="007223FF" w:rsidP="005C4632">
      <w:r>
        <w:separator/>
      </w:r>
    </w:p>
  </w:endnote>
  <w:endnote w:type="continuationSeparator" w:id="0">
    <w:p w:rsidR="007223FF" w:rsidRDefault="007223FF" w:rsidP="005C4632">
      <w:r>
        <w:continuationSeparator/>
      </w:r>
    </w:p>
  </w:endnote>
  <w:endnote w:type="continuationNotice" w:id="1">
    <w:p w:rsidR="007223FF" w:rsidRDefault="00722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50947"/>
      <w:docPartObj>
        <w:docPartGallery w:val="Page Numbers (Bottom of Page)"/>
        <w:docPartUnique/>
      </w:docPartObj>
    </w:sdtPr>
    <w:sdtEndPr/>
    <w:sdtContent>
      <w:p w:rsidR="00C41AB4" w:rsidRDefault="00A424A5">
        <w:pPr>
          <w:pStyle w:val="Piedepgina"/>
          <w:jc w:val="right"/>
        </w:pPr>
        <w:r>
          <w:fldChar w:fldCharType="begin"/>
        </w:r>
        <w:r w:rsidR="001A3CF6">
          <w:instrText xml:space="preserve"> PAGE   \* MERGEFORMAT </w:instrText>
        </w:r>
        <w:r>
          <w:fldChar w:fldCharType="separate"/>
        </w:r>
        <w:r w:rsidR="00836835">
          <w:rPr>
            <w:noProof/>
          </w:rPr>
          <w:t>1</w:t>
        </w:r>
        <w:r>
          <w:rPr>
            <w:noProof/>
          </w:rPr>
          <w:fldChar w:fldCharType="end"/>
        </w:r>
      </w:p>
    </w:sdtContent>
  </w:sdt>
  <w:p w:rsidR="00C41AB4" w:rsidRDefault="00C41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FF" w:rsidRDefault="007223FF" w:rsidP="005C4632">
      <w:r>
        <w:separator/>
      </w:r>
    </w:p>
  </w:footnote>
  <w:footnote w:type="continuationSeparator" w:id="0">
    <w:p w:rsidR="007223FF" w:rsidRDefault="007223FF" w:rsidP="005C4632">
      <w:r>
        <w:continuationSeparator/>
      </w:r>
    </w:p>
  </w:footnote>
  <w:footnote w:type="continuationNotice" w:id="1">
    <w:p w:rsidR="007223FF" w:rsidRDefault="007223FF"/>
  </w:footnote>
  <w:footnote w:id="2">
    <w:p w:rsidR="00C41AB4" w:rsidRPr="008D3C1A" w:rsidRDefault="00C41AB4" w:rsidP="0091099F">
      <w:pPr>
        <w:autoSpaceDE w:val="0"/>
        <w:autoSpaceDN w:val="0"/>
        <w:adjustRightInd w:val="0"/>
        <w:jc w:val="both"/>
        <w:rPr>
          <w:lang w:val="en-GB"/>
        </w:rPr>
      </w:pPr>
      <w:r w:rsidRPr="008D3C1A">
        <w:rPr>
          <w:rStyle w:val="Refdenotaalpie"/>
          <w:lang w:val="en-GB"/>
        </w:rPr>
        <w:t>*</w:t>
      </w:r>
      <w:r w:rsidRPr="008D3C1A">
        <w:rPr>
          <w:lang w:val="en-GB"/>
        </w:rPr>
        <w:t xml:space="preserve">Based on material developed in Ffrench-Davis (2010, 2014). Most figures cited come from these publications, based on Central Bank, Ministry of Finance and National Institute of Statistics. I appreciate the </w:t>
      </w:r>
      <w:r w:rsidR="00CC0204">
        <w:rPr>
          <w:lang w:val="en-GB"/>
        </w:rPr>
        <w:t xml:space="preserve">support of CIEPLAN and the </w:t>
      </w:r>
      <w:r w:rsidRPr="008D3C1A">
        <w:rPr>
          <w:lang w:val="en-GB"/>
        </w:rPr>
        <w:t>assistance of Simón Ballesteros and Nicolás</w:t>
      </w:r>
      <w:r w:rsidR="00333DC7">
        <w:rPr>
          <w:lang w:val="en-GB"/>
        </w:rPr>
        <w:t xml:space="preserve"> </w:t>
      </w:r>
      <w:r w:rsidRPr="008D3C1A">
        <w:rPr>
          <w:lang w:val="en-GB"/>
        </w:rPr>
        <w:t xml:space="preserve">Fernández. </w:t>
      </w:r>
      <w:r w:rsidR="00162955">
        <w:rPr>
          <w:lang w:val="en-GB"/>
        </w:rPr>
        <w:t>P</w:t>
      </w:r>
      <w:r w:rsidR="00A96EFA">
        <w:rPr>
          <w:lang w:val="en-GB"/>
        </w:rPr>
        <w:t>ublished in A. Calcagno, S. Dullien</w:t>
      </w:r>
      <w:r w:rsidR="00333DC7">
        <w:rPr>
          <w:lang w:val="en-GB"/>
        </w:rPr>
        <w:t xml:space="preserve"> </w:t>
      </w:r>
      <w:r w:rsidR="00532464">
        <w:rPr>
          <w:lang w:val="en-GB"/>
        </w:rPr>
        <w:t>and</w:t>
      </w:r>
      <w:r w:rsidR="00333DC7">
        <w:rPr>
          <w:lang w:val="en-GB"/>
        </w:rPr>
        <w:t xml:space="preserve"> </w:t>
      </w:r>
      <w:r w:rsidR="00480A24">
        <w:rPr>
          <w:lang w:val="en-GB"/>
        </w:rPr>
        <w:t xml:space="preserve">J. Priewe (eds.), </w:t>
      </w:r>
      <w:r w:rsidR="00480A24" w:rsidRPr="00480A24">
        <w:rPr>
          <w:i/>
          <w:lang w:val="en-GB"/>
        </w:rPr>
        <w:t xml:space="preserve">Development strategies: </w:t>
      </w:r>
      <w:r w:rsidR="00480A24">
        <w:rPr>
          <w:i/>
          <w:lang w:val="en-GB"/>
        </w:rPr>
        <w:t>c</w:t>
      </w:r>
      <w:r w:rsidR="00480A24" w:rsidRPr="00480A24">
        <w:rPr>
          <w:i/>
          <w:lang w:val="en-GB"/>
        </w:rPr>
        <w:t>ountry studies and international comparisons,</w:t>
      </w:r>
      <w:r w:rsidR="00480A24">
        <w:rPr>
          <w:lang w:val="en-GB"/>
        </w:rPr>
        <w:t xml:space="preserve"> University of Applied Sciences (HTW, Berl</w:t>
      </w:r>
      <w:r w:rsidR="00093B9E">
        <w:rPr>
          <w:lang w:val="en-GB"/>
        </w:rPr>
        <w:t>i</w:t>
      </w:r>
      <w:r w:rsidR="00480A24">
        <w:rPr>
          <w:lang w:val="en-GB"/>
        </w:rPr>
        <w:t xml:space="preserve">n) </w:t>
      </w:r>
      <w:r w:rsidR="00093B9E">
        <w:rPr>
          <w:lang w:val="en-GB"/>
        </w:rPr>
        <w:t>and</w:t>
      </w:r>
      <w:r w:rsidR="00480A24">
        <w:rPr>
          <w:lang w:val="en-GB"/>
        </w:rPr>
        <w:t xml:space="preserve"> UNCTAD (G</w:t>
      </w:r>
      <w:r w:rsidR="00093B9E">
        <w:rPr>
          <w:lang w:val="en-GB"/>
        </w:rPr>
        <w:t>e</w:t>
      </w:r>
      <w:r w:rsidR="00480A24">
        <w:rPr>
          <w:lang w:val="en-GB"/>
        </w:rPr>
        <w:t>ne</w:t>
      </w:r>
      <w:r w:rsidR="00093B9E">
        <w:rPr>
          <w:lang w:val="en-GB"/>
        </w:rPr>
        <w:t>v</w:t>
      </w:r>
      <w:r w:rsidR="00480A24">
        <w:rPr>
          <w:lang w:val="en-GB"/>
        </w:rPr>
        <w:t>a), 2015.</w:t>
      </w:r>
    </w:p>
    <w:p w:rsidR="00C41AB4" w:rsidRPr="008D3C1A" w:rsidRDefault="00C41AB4" w:rsidP="00045A06">
      <w:pPr>
        <w:pStyle w:val="Textonotapie"/>
        <w:rPr>
          <w:lang w:val="en-GB"/>
        </w:rPr>
      </w:pPr>
    </w:p>
  </w:footnote>
  <w:footnote w:id="3">
    <w:p w:rsidR="00A055AE" w:rsidRDefault="007A6673">
      <w:pPr>
        <w:jc w:val="both"/>
        <w:rPr>
          <w:b/>
          <w:sz w:val="28"/>
          <w:szCs w:val="28"/>
          <w:lang w:val="en-GB"/>
        </w:rPr>
      </w:pPr>
      <w:r w:rsidRPr="007A6673">
        <w:rPr>
          <w:rStyle w:val="Refdenotaalpie"/>
          <w:lang w:val="en-US"/>
        </w:rPr>
        <w:t>**</w:t>
      </w:r>
      <w:r w:rsidR="00C41AB4" w:rsidRPr="008D3C1A">
        <w:rPr>
          <w:lang w:val="en-GB"/>
        </w:rPr>
        <w:t>Ricardo Ffrench-Davis is Professor of Economics at the University of Chile.</w:t>
      </w:r>
      <w:r w:rsidR="00C41AB4" w:rsidRPr="008D3C1A">
        <w:rPr>
          <w:rFonts w:cs="Courier"/>
          <w:color w:val="000000"/>
          <w:lang w:val="en-GB"/>
        </w:rPr>
        <w:t xml:space="preserve"> He holds a PHD in Economics from the University of Chicago and has been awarded the Chilean National Prize for the Social Sciences and Humanities. He is Former Principal Regional Adviser of ECLAC, 1992–2005, Chief Economist at the Central Bank of Chile, 1964–70 and 1990–92, Co-founder of the Center for Economic Research on Latin America (CIEPLAN), 1975–89, and</w:t>
      </w:r>
      <w:r w:rsidR="00C41AB4" w:rsidRPr="008D3C1A">
        <w:rPr>
          <w:rFonts w:cs="Courier"/>
          <w:lang w:val="en-GB"/>
        </w:rPr>
        <w:t xml:space="preserve"> Chairperson of the Committee for Development Policy of the United Nations in 2007–2010. </w:t>
      </w:r>
      <w:r w:rsidR="00C41AB4" w:rsidRPr="008D3C1A">
        <w:rPr>
          <w:rFonts w:cs="Courier"/>
          <w:color w:val="000000"/>
          <w:lang w:val="en-GB"/>
        </w:rPr>
        <w:t xml:space="preserve">He has published 21 books and about 150 articles on trade and finance, development and Latin American economies and is the author of </w:t>
      </w:r>
      <w:r w:rsidR="00C41AB4" w:rsidRPr="008D3C1A">
        <w:rPr>
          <w:rFonts w:cs="Courier"/>
          <w:i/>
          <w:color w:val="000000"/>
          <w:lang w:val="en-GB"/>
        </w:rPr>
        <w:t xml:space="preserve">Reforming Latin America’s Economies after Market Fundamentalism </w:t>
      </w:r>
      <w:r w:rsidR="00C41AB4" w:rsidRPr="008D3C1A">
        <w:rPr>
          <w:rFonts w:cs="Courier"/>
          <w:color w:val="000000"/>
          <w:lang w:val="en-GB"/>
        </w:rPr>
        <w:t xml:space="preserve">(2006) and </w:t>
      </w:r>
      <w:r w:rsidR="00C41AB4" w:rsidRPr="008D3C1A">
        <w:rPr>
          <w:rFonts w:cs="Courier"/>
          <w:i/>
          <w:color w:val="000000"/>
          <w:lang w:val="en-GB"/>
        </w:rPr>
        <w:t xml:space="preserve">Economic Reforms in Chile: from Dictatorship to Democracy </w:t>
      </w:r>
      <w:r w:rsidR="00C41AB4" w:rsidRPr="008D3C1A">
        <w:rPr>
          <w:rFonts w:cs="Courier"/>
          <w:color w:val="000000"/>
          <w:lang w:val="en-GB"/>
        </w:rPr>
        <w:t>(2010).</w:t>
      </w:r>
      <w:r w:rsidR="001A3CF6">
        <w:rPr>
          <w:rFonts w:cs="Courier"/>
          <w:color w:val="000000"/>
          <w:lang w:val="en-GB"/>
        </w:rPr>
        <w:t>(</w:t>
      </w:r>
      <w:r w:rsidR="00333DC7">
        <w:rPr>
          <w:rFonts w:cs="Courier"/>
          <w:color w:val="000000"/>
          <w:lang w:val="en-GB"/>
        </w:rPr>
        <w:t>01/04/15;</w:t>
      </w:r>
      <w:r w:rsidR="001A3CF6">
        <w:rPr>
          <w:rFonts w:cs="Courier"/>
          <w:color w:val="000000"/>
          <w:lang w:val="en-GB"/>
        </w:rPr>
        <w:t>8,1</w:t>
      </w:r>
      <w:r w:rsidR="00F24B24">
        <w:rPr>
          <w:rFonts w:cs="Courier"/>
          <w:color w:val="000000"/>
          <w:lang w:val="en-GB"/>
        </w:rPr>
        <w:t>3</w:t>
      </w:r>
      <w:r w:rsidR="00162955">
        <w:rPr>
          <w:rFonts w:cs="Courier"/>
          <w:color w:val="000000"/>
          <w:lang w:val="en-GB"/>
        </w:rPr>
        <w:t>5</w:t>
      </w:r>
      <w:r w:rsidR="001A3CF6">
        <w:rPr>
          <w:rFonts w:cs="Courier"/>
          <w:color w:val="000000"/>
          <w:lang w:val="en-GB"/>
        </w:rPr>
        <w:t>w)</w:t>
      </w:r>
    </w:p>
    <w:p w:rsidR="00C41AB4" w:rsidRPr="00C41AB4" w:rsidRDefault="00C41AB4">
      <w:pPr>
        <w:pStyle w:val="Textonotapie"/>
        <w:rPr>
          <w:lang w:val="en-GB"/>
        </w:rPr>
      </w:pPr>
    </w:p>
  </w:footnote>
  <w:footnote w:id="4">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Details are analysed in Ffrench-Davis (2010, chapter VIII) and Lefort and Lehmann (2003).</w:t>
      </w:r>
    </w:p>
  </w:footnote>
  <w:footnote w:id="5">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The measurement of economic growth should be made between comparable macroeconomic situations. We compare years with a high level of capacity use, namely those with actual GDP close to potential GDP. Significant recoveries of economic activity such as in 2004-08 and 2010-12 came after recessions that cannot be ignored. On the contrary, the vigorous growth from 1990-98 followed an overheating economy in 1989. </w:t>
      </w:r>
    </w:p>
  </w:footnote>
  <w:footnote w:id="6">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In 1979, Chile moved to the then known as “monetary approach to the balance of payments”, which involved fixing the nominal exchange rate and determining that the money supply would only be increased (reduced) in response to purchases (sales) of dollars by the Central Bank. It is similar to the “currency board” adopted by Argentina in 1991 and that exploited in a dramatic crisis in 2002.</w:t>
      </w:r>
    </w:p>
  </w:footnote>
  <w:footnote w:id="7">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Pro-cyclical monetary and exchange rate domestic policies were aggravated by a huge jump in interest rates in the USA in late 1979 and a US dollar appreciation in 1981, which additionally raised the cost of the outstanding foreign debt.</w:t>
      </w:r>
    </w:p>
  </w:footnote>
  <w:footnote w:id="8">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Based on the national accounts, the share of “tradables” was estimated to have fallen about 5 percentage points of GDP, instead of increasing as expected with trade liberalisation.  </w:t>
      </w:r>
    </w:p>
  </w:footnote>
  <w:footnote w:id="9">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In his interesting evaluation of the experiment, Foxley (1983) presents several revealing citations, including one from an editorial of the </w:t>
      </w:r>
      <w:r w:rsidRPr="008D3C1A">
        <w:rPr>
          <w:i/>
          <w:lang w:val="en-GB"/>
        </w:rPr>
        <w:t>Wall Street Journal</w:t>
      </w:r>
      <w:r w:rsidRPr="008D3C1A">
        <w:rPr>
          <w:lang w:val="en-GB"/>
        </w:rPr>
        <w:t>: USA should borrow the economic team of Chile (01/18/80), referring to the incoming Reagan presidency.</w:t>
      </w:r>
    </w:p>
  </w:footnote>
  <w:footnote w:id="10">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See, for instance, the classical paper by Calvo, </w:t>
      </w:r>
      <w:r w:rsidRPr="008D3C1A">
        <w:rPr>
          <w:spacing w:val="-3"/>
          <w:lang w:val="en-GB"/>
        </w:rPr>
        <w:t>Leiderman and Reinhart</w:t>
      </w:r>
      <w:r w:rsidRPr="008D3C1A">
        <w:rPr>
          <w:lang w:val="en-GB"/>
        </w:rPr>
        <w:t xml:space="preserve"> (1993).</w:t>
      </w:r>
    </w:p>
  </w:footnote>
  <w:footnote w:id="11">
    <w:p w:rsidR="00F85DF4" w:rsidRPr="008D3C1A" w:rsidRDefault="00F85DF4" w:rsidP="00F85DF4">
      <w:pPr>
        <w:pStyle w:val="Textonotapie"/>
        <w:rPr>
          <w:lang w:val="en-GB"/>
        </w:rPr>
      </w:pPr>
      <w:r w:rsidRPr="008D3C1A">
        <w:rPr>
          <w:rStyle w:val="Refdenotaalpie"/>
          <w:lang w:val="en-GB"/>
        </w:rPr>
        <w:footnoteRef/>
      </w:r>
      <w:r w:rsidRPr="008D3C1A">
        <w:rPr>
          <w:lang w:val="en-GB"/>
        </w:rPr>
        <w:t xml:space="preserve"> The reforms approved by the Parliament (including the tax reform) were always less comprehensive than those originally proposed by the government. A determining factor was the group of senators appointed under the Constitution designed by the dictator Pinochet in 1980, which more than compensated for the majority achieved by candidates of the new democratic government in 1989 and 1993 parliamentarian elections.</w:t>
      </w:r>
    </w:p>
  </w:footnote>
  <w:footnote w:id="12">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In Ffrench-Davis (2010 and 2014), I conduct a detailed analysis of empirical literature critical and supportive of the working of the </w:t>
      </w:r>
      <w:r w:rsidRPr="008D3C1A">
        <w:rPr>
          <w:i/>
          <w:lang w:val="en-GB"/>
        </w:rPr>
        <w:t>encaje</w:t>
      </w:r>
      <w:r w:rsidRPr="008D3C1A">
        <w:rPr>
          <w:lang w:val="en-GB"/>
        </w:rPr>
        <w:t>.</w:t>
      </w:r>
    </w:p>
  </w:footnote>
  <w:footnote w:id="13">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Good luck also played a role, with a sharp improvement in the terms of trade in 1995, although it still remained 20 per cent below the average in the last biennium of the dictatorship.</w:t>
      </w:r>
    </w:p>
  </w:footnote>
  <w:footnote w:id="14">
    <w:p w:rsidR="00C41AB4" w:rsidRPr="008D3C1A" w:rsidRDefault="00C41AB4" w:rsidP="00045A06">
      <w:pPr>
        <w:pStyle w:val="Textonotapie"/>
        <w:rPr>
          <w:lang w:val="en-GB"/>
        </w:rPr>
      </w:pPr>
      <w:r w:rsidRPr="008D3C1A">
        <w:rPr>
          <w:rStyle w:val="Refdenotaalpie"/>
          <w:lang w:val="en-GB"/>
        </w:rPr>
        <w:footnoteRef/>
      </w:r>
      <w:r w:rsidRPr="008D3C1A">
        <w:rPr>
          <w:lang w:val="en-GB"/>
        </w:rPr>
        <w:t>Ffrench-Davis (2014, ch. IX, table IX.2). This chapter discusses policies between the contagion of the Asian crisis and the start of the global crisis.</w:t>
      </w:r>
    </w:p>
  </w:footnote>
  <w:footnote w:id="15">
    <w:p w:rsidR="00C41AB4" w:rsidRPr="008D3C1A" w:rsidRDefault="00C41AB4" w:rsidP="00045A06">
      <w:pPr>
        <w:pStyle w:val="Textonotapie"/>
        <w:rPr>
          <w:lang w:val="en-GB"/>
        </w:rPr>
      </w:pPr>
      <w:r w:rsidRPr="008D3C1A">
        <w:rPr>
          <w:rStyle w:val="Refdenotaalpie"/>
          <w:lang w:val="en-GB"/>
        </w:rPr>
        <w:footnoteRef/>
      </w:r>
      <w:r w:rsidR="004D5A4D">
        <w:rPr>
          <w:lang w:val="en-GB"/>
        </w:rPr>
        <w:t xml:space="preserve"> </w:t>
      </w:r>
      <w:r w:rsidRPr="008D3C1A">
        <w:rPr>
          <w:lang w:val="en-GB"/>
        </w:rPr>
        <w:t>Ffrench-Davis (2014, ch. X, table X.1). This chapter details the policy answer to the contagion in 2008-09, recovery in 2010-12, and building of dependency on a very high price of copper.</w:t>
      </w:r>
    </w:p>
  </w:footnote>
  <w:footnote w:id="16">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The Central Bank estimated that potential GDP had been reduced </w:t>
      </w:r>
      <w:r w:rsidR="00502427">
        <w:rPr>
          <w:lang w:val="en-GB"/>
        </w:rPr>
        <w:t>by 1 to</w:t>
      </w:r>
      <w:r w:rsidRPr="008D3C1A">
        <w:rPr>
          <w:lang w:val="en-GB"/>
        </w:rPr>
        <w:t xml:space="preserve"> 1.5 per cent by the earthquake and tsunami.</w:t>
      </w:r>
      <w:r w:rsidR="00B7637D" w:rsidRPr="008D3C1A">
        <w:rPr>
          <w:lang w:val="en-GB"/>
        </w:rPr>
        <w:t>T</w:t>
      </w:r>
      <w:r w:rsidR="00B7637D">
        <w:rPr>
          <w:lang w:val="en-GB"/>
        </w:rPr>
        <w:t>hus, to</w:t>
      </w:r>
      <w:r w:rsidR="00B7637D" w:rsidRPr="008D3C1A">
        <w:rPr>
          <w:lang w:val="en-GB"/>
        </w:rPr>
        <w:t xml:space="preserve"> be accurate, adjustment must be made for the 27F destruction of capacity by adding </w:t>
      </w:r>
      <w:r w:rsidR="004D5A4D">
        <w:rPr>
          <w:lang w:val="en-GB"/>
        </w:rPr>
        <w:t xml:space="preserve">those </w:t>
      </w:r>
      <w:r w:rsidR="00502427">
        <w:rPr>
          <w:lang w:val="en-GB"/>
        </w:rPr>
        <w:t>1-</w:t>
      </w:r>
      <w:r w:rsidR="00B7637D" w:rsidRPr="008D3C1A">
        <w:rPr>
          <w:lang w:val="en-GB"/>
        </w:rPr>
        <w:t>1.5 percentage points for the loss of potential GDP, thus arriving at an annual average for growth of close to 4.1 per cent in the six-year period 2008-13. An additional adjustment could be made if it is assumed that the contribution of export volume to GDP growth would increase if world trade was normalised.</w:t>
      </w:r>
    </w:p>
  </w:footnote>
  <w:footnote w:id="17">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To be accurate, adjustment must be made for the 27F destruction of capacity by adding about 1.5 percentage points for the loss of potential GDP, thus arriving at an annual average growth </w:t>
      </w:r>
      <w:r w:rsidR="004D5A4D">
        <w:rPr>
          <w:lang w:val="en-GB"/>
        </w:rPr>
        <w:t>of</w:t>
      </w:r>
      <w:r w:rsidRPr="008D3C1A">
        <w:rPr>
          <w:lang w:val="en-GB"/>
        </w:rPr>
        <w:t xml:space="preserve"> 4.1 per cent in the six-year period 2008-13. An additional adjustment could be made if it is assumed that the contribution of export volume to GDP growth would increase if world trade w</w:t>
      </w:r>
      <w:r w:rsidR="00090EFB">
        <w:rPr>
          <w:lang w:val="en-GB"/>
        </w:rPr>
        <w:t xml:space="preserve">ere to </w:t>
      </w:r>
      <w:r w:rsidRPr="008D3C1A">
        <w:rPr>
          <w:lang w:val="en-GB"/>
        </w:rPr>
        <w:t>normalise.</w:t>
      </w:r>
    </w:p>
  </w:footnote>
  <w:footnote w:id="18">
    <w:p w:rsidR="00C41AB4" w:rsidRPr="008D3C1A" w:rsidRDefault="00C41AB4" w:rsidP="00045A06">
      <w:pPr>
        <w:pStyle w:val="Textonotapie"/>
        <w:rPr>
          <w:lang w:val="en-GB"/>
        </w:rPr>
      </w:pPr>
      <w:r w:rsidRPr="008D3C1A">
        <w:rPr>
          <w:rStyle w:val="Refdenotaalpie"/>
          <w:lang w:val="en-GB"/>
        </w:rPr>
        <w:footnoteRef/>
      </w:r>
      <w:r w:rsidR="00090EFB">
        <w:rPr>
          <w:lang w:val="en-GB"/>
        </w:rPr>
        <w:t>Real t</w:t>
      </w:r>
      <w:r w:rsidRPr="008D3C1A">
        <w:rPr>
          <w:lang w:val="en-GB"/>
        </w:rPr>
        <w:t xml:space="preserve">ax income from copper depends on both its </w:t>
      </w:r>
      <w:r w:rsidR="00090EFB">
        <w:rPr>
          <w:lang w:val="en-GB"/>
        </w:rPr>
        <w:t xml:space="preserve">real </w:t>
      </w:r>
      <w:r w:rsidRPr="008D3C1A">
        <w:rPr>
          <w:lang w:val="en-GB"/>
        </w:rPr>
        <w:t>price and the costs of production, which have been increasing</w:t>
      </w:r>
      <w:r w:rsidR="00090EFB">
        <w:rPr>
          <w:lang w:val="en-GB"/>
        </w:rPr>
        <w:t xml:space="preserve"> quite fast in real terms</w:t>
      </w:r>
      <w:r w:rsidRPr="008D3C1A">
        <w:rPr>
          <w:lang w:val="en-GB"/>
        </w:rPr>
        <w:t>. Note that as the Chilean tax system is highly dependent on the VAT, tax revenue grows faster than GDP as the external deficit increases as happened in 2010-1</w:t>
      </w:r>
      <w:r w:rsidR="00090EFB">
        <w:rPr>
          <w:lang w:val="en-GB"/>
        </w:rPr>
        <w:t>3</w:t>
      </w:r>
      <w:r w:rsidRPr="008D3C1A">
        <w:rPr>
          <w:lang w:val="en-GB"/>
        </w:rPr>
        <w:t xml:space="preserve">. See Table </w:t>
      </w:r>
      <w:r w:rsidR="00090EFB">
        <w:rPr>
          <w:lang w:val="en-GB"/>
        </w:rPr>
        <w:t>4</w:t>
      </w:r>
      <w:r w:rsidRPr="008D3C1A">
        <w:rPr>
          <w:lang w:val="en-GB"/>
        </w:rPr>
        <w:t xml:space="preserve">. </w:t>
      </w:r>
    </w:p>
  </w:footnote>
  <w:footnote w:id="19">
    <w:p w:rsidR="00C41AB4" w:rsidRPr="008D3C1A" w:rsidRDefault="00C41AB4" w:rsidP="00045A06">
      <w:pPr>
        <w:pStyle w:val="Textonotapie"/>
        <w:rPr>
          <w:lang w:val="en-GB"/>
        </w:rPr>
      </w:pPr>
      <w:r w:rsidRPr="008D3C1A">
        <w:rPr>
          <w:rStyle w:val="Refdenotaalpie"/>
          <w:lang w:val="en-GB"/>
        </w:rPr>
        <w:footnoteRef/>
      </w:r>
      <w:r w:rsidRPr="008D3C1A">
        <w:rPr>
          <w:lang w:val="en-GB"/>
        </w:rPr>
        <w:t xml:space="preserve"> Based on the significant revenue from copper mining, the opponents of tax reform have claimed that there are "sufficient fiscal resources." They do so without examining the need to revise downwards sustainable revenue, with a "reasonable" trend estimate of copper prices.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430E2"/>
    <w:multiLevelType w:val="hybridMultilevel"/>
    <w:tmpl w:val="2B5A7576"/>
    <w:lvl w:ilvl="0" w:tplc="38462BD0">
      <w:start w:val="1"/>
      <w:numFmt w:val="decimal"/>
      <w:lvlText w:val="%1."/>
      <w:lvlJc w:val="left"/>
      <w:pPr>
        <w:ind w:left="1068" w:hanging="360"/>
      </w:pPr>
      <w:rPr>
        <w:rFonts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nsid w:val="3782438C"/>
    <w:multiLevelType w:val="hybridMultilevel"/>
    <w:tmpl w:val="83527E4A"/>
    <w:lvl w:ilvl="0" w:tplc="6D54BA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EC5B88"/>
    <w:multiLevelType w:val="hybridMultilevel"/>
    <w:tmpl w:val="E3F008C0"/>
    <w:lvl w:ilvl="0" w:tplc="04E62424">
      <w:start w:val="1"/>
      <w:numFmt w:val="decimal"/>
      <w:lvlText w:val="%1."/>
      <w:lvlJc w:val="left"/>
      <w:pPr>
        <w:ind w:left="2498" w:hanging="360"/>
      </w:pPr>
      <w:rPr>
        <w:rFonts w:hint="default"/>
      </w:rPr>
    </w:lvl>
    <w:lvl w:ilvl="1" w:tplc="340A0019" w:tentative="1">
      <w:start w:val="1"/>
      <w:numFmt w:val="lowerLetter"/>
      <w:lvlText w:val="%2."/>
      <w:lvlJc w:val="left"/>
      <w:pPr>
        <w:ind w:left="3218" w:hanging="360"/>
      </w:pPr>
    </w:lvl>
    <w:lvl w:ilvl="2" w:tplc="340A001B" w:tentative="1">
      <w:start w:val="1"/>
      <w:numFmt w:val="lowerRoman"/>
      <w:lvlText w:val="%3."/>
      <w:lvlJc w:val="right"/>
      <w:pPr>
        <w:ind w:left="3938" w:hanging="180"/>
      </w:pPr>
    </w:lvl>
    <w:lvl w:ilvl="3" w:tplc="340A000F" w:tentative="1">
      <w:start w:val="1"/>
      <w:numFmt w:val="decimal"/>
      <w:lvlText w:val="%4."/>
      <w:lvlJc w:val="left"/>
      <w:pPr>
        <w:ind w:left="4658" w:hanging="360"/>
      </w:pPr>
    </w:lvl>
    <w:lvl w:ilvl="4" w:tplc="340A0019" w:tentative="1">
      <w:start w:val="1"/>
      <w:numFmt w:val="lowerLetter"/>
      <w:lvlText w:val="%5."/>
      <w:lvlJc w:val="left"/>
      <w:pPr>
        <w:ind w:left="5378" w:hanging="360"/>
      </w:pPr>
    </w:lvl>
    <w:lvl w:ilvl="5" w:tplc="340A001B" w:tentative="1">
      <w:start w:val="1"/>
      <w:numFmt w:val="lowerRoman"/>
      <w:lvlText w:val="%6."/>
      <w:lvlJc w:val="right"/>
      <w:pPr>
        <w:ind w:left="6098" w:hanging="180"/>
      </w:pPr>
    </w:lvl>
    <w:lvl w:ilvl="6" w:tplc="340A000F" w:tentative="1">
      <w:start w:val="1"/>
      <w:numFmt w:val="decimal"/>
      <w:lvlText w:val="%7."/>
      <w:lvlJc w:val="left"/>
      <w:pPr>
        <w:ind w:left="6818" w:hanging="360"/>
      </w:pPr>
    </w:lvl>
    <w:lvl w:ilvl="7" w:tplc="340A0019" w:tentative="1">
      <w:start w:val="1"/>
      <w:numFmt w:val="lowerLetter"/>
      <w:lvlText w:val="%8."/>
      <w:lvlJc w:val="left"/>
      <w:pPr>
        <w:ind w:left="7538" w:hanging="360"/>
      </w:pPr>
    </w:lvl>
    <w:lvl w:ilvl="8" w:tplc="340A001B" w:tentative="1">
      <w:start w:val="1"/>
      <w:numFmt w:val="lowerRoman"/>
      <w:lvlText w:val="%9."/>
      <w:lvlJc w:val="right"/>
      <w:pPr>
        <w:ind w:left="8258" w:hanging="180"/>
      </w:pPr>
    </w:lvl>
  </w:abstractNum>
  <w:abstractNum w:abstractNumId="3">
    <w:nsid w:val="55FE4045"/>
    <w:multiLevelType w:val="hybridMultilevel"/>
    <w:tmpl w:val="44FCFEA2"/>
    <w:lvl w:ilvl="0" w:tplc="B9E65960">
      <w:start w:val="1"/>
      <w:numFmt w:val="lowerLetter"/>
      <w:lvlText w:val="%1)"/>
      <w:lvlJc w:val="left"/>
      <w:pPr>
        <w:ind w:left="2498" w:hanging="360"/>
      </w:pPr>
      <w:rPr>
        <w:rFonts w:hint="default"/>
      </w:rPr>
    </w:lvl>
    <w:lvl w:ilvl="1" w:tplc="340A0019" w:tentative="1">
      <w:start w:val="1"/>
      <w:numFmt w:val="lowerLetter"/>
      <w:lvlText w:val="%2."/>
      <w:lvlJc w:val="left"/>
      <w:pPr>
        <w:ind w:left="3218" w:hanging="360"/>
      </w:pPr>
    </w:lvl>
    <w:lvl w:ilvl="2" w:tplc="340A001B" w:tentative="1">
      <w:start w:val="1"/>
      <w:numFmt w:val="lowerRoman"/>
      <w:lvlText w:val="%3."/>
      <w:lvlJc w:val="right"/>
      <w:pPr>
        <w:ind w:left="3938" w:hanging="180"/>
      </w:pPr>
    </w:lvl>
    <w:lvl w:ilvl="3" w:tplc="340A000F" w:tentative="1">
      <w:start w:val="1"/>
      <w:numFmt w:val="decimal"/>
      <w:lvlText w:val="%4."/>
      <w:lvlJc w:val="left"/>
      <w:pPr>
        <w:ind w:left="4658" w:hanging="360"/>
      </w:pPr>
    </w:lvl>
    <w:lvl w:ilvl="4" w:tplc="340A0019" w:tentative="1">
      <w:start w:val="1"/>
      <w:numFmt w:val="lowerLetter"/>
      <w:lvlText w:val="%5."/>
      <w:lvlJc w:val="left"/>
      <w:pPr>
        <w:ind w:left="5378" w:hanging="360"/>
      </w:pPr>
    </w:lvl>
    <w:lvl w:ilvl="5" w:tplc="340A001B" w:tentative="1">
      <w:start w:val="1"/>
      <w:numFmt w:val="lowerRoman"/>
      <w:lvlText w:val="%6."/>
      <w:lvlJc w:val="right"/>
      <w:pPr>
        <w:ind w:left="6098" w:hanging="180"/>
      </w:pPr>
    </w:lvl>
    <w:lvl w:ilvl="6" w:tplc="340A000F" w:tentative="1">
      <w:start w:val="1"/>
      <w:numFmt w:val="decimal"/>
      <w:lvlText w:val="%7."/>
      <w:lvlJc w:val="left"/>
      <w:pPr>
        <w:ind w:left="6818" w:hanging="360"/>
      </w:pPr>
    </w:lvl>
    <w:lvl w:ilvl="7" w:tplc="340A0019" w:tentative="1">
      <w:start w:val="1"/>
      <w:numFmt w:val="lowerLetter"/>
      <w:lvlText w:val="%8."/>
      <w:lvlJc w:val="left"/>
      <w:pPr>
        <w:ind w:left="7538" w:hanging="360"/>
      </w:pPr>
    </w:lvl>
    <w:lvl w:ilvl="8" w:tplc="340A001B" w:tentative="1">
      <w:start w:val="1"/>
      <w:numFmt w:val="lowerRoman"/>
      <w:lvlText w:val="%9."/>
      <w:lvlJc w:val="right"/>
      <w:pPr>
        <w:ind w:left="8258" w:hanging="180"/>
      </w:pPr>
    </w:lvl>
  </w:abstractNum>
  <w:abstractNum w:abstractNumId="4">
    <w:nsid w:val="65426054"/>
    <w:multiLevelType w:val="hybridMultilevel"/>
    <w:tmpl w:val="8752C302"/>
    <w:lvl w:ilvl="0" w:tplc="7892F89E">
      <w:start w:val="3"/>
      <w:numFmt w:val="upperRoman"/>
      <w:lvlText w:val="%1."/>
      <w:lvlJc w:val="left"/>
      <w:pPr>
        <w:ind w:left="2858" w:hanging="720"/>
      </w:pPr>
      <w:rPr>
        <w:rFonts w:hint="default"/>
      </w:rPr>
    </w:lvl>
    <w:lvl w:ilvl="1" w:tplc="340A0019" w:tentative="1">
      <w:start w:val="1"/>
      <w:numFmt w:val="lowerLetter"/>
      <w:lvlText w:val="%2."/>
      <w:lvlJc w:val="left"/>
      <w:pPr>
        <w:ind w:left="3218" w:hanging="360"/>
      </w:pPr>
    </w:lvl>
    <w:lvl w:ilvl="2" w:tplc="340A001B" w:tentative="1">
      <w:start w:val="1"/>
      <w:numFmt w:val="lowerRoman"/>
      <w:lvlText w:val="%3."/>
      <w:lvlJc w:val="right"/>
      <w:pPr>
        <w:ind w:left="3938" w:hanging="180"/>
      </w:pPr>
    </w:lvl>
    <w:lvl w:ilvl="3" w:tplc="340A000F" w:tentative="1">
      <w:start w:val="1"/>
      <w:numFmt w:val="decimal"/>
      <w:lvlText w:val="%4."/>
      <w:lvlJc w:val="left"/>
      <w:pPr>
        <w:ind w:left="4658" w:hanging="360"/>
      </w:pPr>
    </w:lvl>
    <w:lvl w:ilvl="4" w:tplc="340A0019" w:tentative="1">
      <w:start w:val="1"/>
      <w:numFmt w:val="lowerLetter"/>
      <w:lvlText w:val="%5."/>
      <w:lvlJc w:val="left"/>
      <w:pPr>
        <w:ind w:left="5378" w:hanging="360"/>
      </w:pPr>
    </w:lvl>
    <w:lvl w:ilvl="5" w:tplc="340A001B" w:tentative="1">
      <w:start w:val="1"/>
      <w:numFmt w:val="lowerRoman"/>
      <w:lvlText w:val="%6."/>
      <w:lvlJc w:val="right"/>
      <w:pPr>
        <w:ind w:left="6098" w:hanging="180"/>
      </w:pPr>
    </w:lvl>
    <w:lvl w:ilvl="6" w:tplc="340A000F" w:tentative="1">
      <w:start w:val="1"/>
      <w:numFmt w:val="decimal"/>
      <w:lvlText w:val="%7."/>
      <w:lvlJc w:val="left"/>
      <w:pPr>
        <w:ind w:left="6818" w:hanging="360"/>
      </w:pPr>
    </w:lvl>
    <w:lvl w:ilvl="7" w:tplc="340A0019" w:tentative="1">
      <w:start w:val="1"/>
      <w:numFmt w:val="lowerLetter"/>
      <w:lvlText w:val="%8."/>
      <w:lvlJc w:val="left"/>
      <w:pPr>
        <w:ind w:left="7538" w:hanging="360"/>
      </w:pPr>
    </w:lvl>
    <w:lvl w:ilvl="8" w:tplc="340A001B" w:tentative="1">
      <w:start w:val="1"/>
      <w:numFmt w:val="lowerRoman"/>
      <w:lvlText w:val="%9."/>
      <w:lvlJc w:val="right"/>
      <w:pPr>
        <w:ind w:left="8258" w:hanging="180"/>
      </w:pPr>
    </w:lvl>
  </w:abstractNum>
  <w:abstractNum w:abstractNumId="5">
    <w:nsid w:val="65622566"/>
    <w:multiLevelType w:val="hybridMultilevel"/>
    <w:tmpl w:val="E78EBE3A"/>
    <w:lvl w:ilvl="0" w:tplc="1618D9A4">
      <w:start w:val="2"/>
      <w:numFmt w:val="upperLetter"/>
      <w:lvlText w:val="%1."/>
      <w:lvlJc w:val="left"/>
      <w:pPr>
        <w:ind w:left="2498" w:hanging="360"/>
      </w:pPr>
      <w:rPr>
        <w:rFonts w:hint="default"/>
      </w:rPr>
    </w:lvl>
    <w:lvl w:ilvl="1" w:tplc="340A0019" w:tentative="1">
      <w:start w:val="1"/>
      <w:numFmt w:val="lowerLetter"/>
      <w:lvlText w:val="%2."/>
      <w:lvlJc w:val="left"/>
      <w:pPr>
        <w:ind w:left="3218" w:hanging="360"/>
      </w:pPr>
    </w:lvl>
    <w:lvl w:ilvl="2" w:tplc="340A001B" w:tentative="1">
      <w:start w:val="1"/>
      <w:numFmt w:val="lowerRoman"/>
      <w:lvlText w:val="%3."/>
      <w:lvlJc w:val="right"/>
      <w:pPr>
        <w:ind w:left="3938" w:hanging="180"/>
      </w:pPr>
    </w:lvl>
    <w:lvl w:ilvl="3" w:tplc="340A000F" w:tentative="1">
      <w:start w:val="1"/>
      <w:numFmt w:val="decimal"/>
      <w:lvlText w:val="%4."/>
      <w:lvlJc w:val="left"/>
      <w:pPr>
        <w:ind w:left="4658" w:hanging="360"/>
      </w:pPr>
    </w:lvl>
    <w:lvl w:ilvl="4" w:tplc="340A0019" w:tentative="1">
      <w:start w:val="1"/>
      <w:numFmt w:val="lowerLetter"/>
      <w:lvlText w:val="%5."/>
      <w:lvlJc w:val="left"/>
      <w:pPr>
        <w:ind w:left="5378" w:hanging="360"/>
      </w:pPr>
    </w:lvl>
    <w:lvl w:ilvl="5" w:tplc="340A001B" w:tentative="1">
      <w:start w:val="1"/>
      <w:numFmt w:val="lowerRoman"/>
      <w:lvlText w:val="%6."/>
      <w:lvlJc w:val="right"/>
      <w:pPr>
        <w:ind w:left="6098" w:hanging="180"/>
      </w:pPr>
    </w:lvl>
    <w:lvl w:ilvl="6" w:tplc="340A000F" w:tentative="1">
      <w:start w:val="1"/>
      <w:numFmt w:val="decimal"/>
      <w:lvlText w:val="%7."/>
      <w:lvlJc w:val="left"/>
      <w:pPr>
        <w:ind w:left="6818" w:hanging="360"/>
      </w:pPr>
    </w:lvl>
    <w:lvl w:ilvl="7" w:tplc="340A0019" w:tentative="1">
      <w:start w:val="1"/>
      <w:numFmt w:val="lowerLetter"/>
      <w:lvlText w:val="%8."/>
      <w:lvlJc w:val="left"/>
      <w:pPr>
        <w:ind w:left="7538" w:hanging="360"/>
      </w:pPr>
    </w:lvl>
    <w:lvl w:ilvl="8" w:tplc="340A001B" w:tentative="1">
      <w:start w:val="1"/>
      <w:numFmt w:val="lowerRoman"/>
      <w:lvlText w:val="%9."/>
      <w:lvlJc w:val="right"/>
      <w:pPr>
        <w:ind w:left="8258" w:hanging="180"/>
      </w:pPr>
    </w:lvl>
  </w:abstractNum>
  <w:abstractNum w:abstractNumId="6">
    <w:nsid w:val="66DE1C50"/>
    <w:multiLevelType w:val="hybridMultilevel"/>
    <w:tmpl w:val="8536D50C"/>
    <w:lvl w:ilvl="0" w:tplc="09742338">
      <w:start w:val="1"/>
      <w:numFmt w:val="upperLetter"/>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39"/>
    <w:rsid w:val="00004CBF"/>
    <w:rsid w:val="00007661"/>
    <w:rsid w:val="00007E54"/>
    <w:rsid w:val="00011A31"/>
    <w:rsid w:val="00016286"/>
    <w:rsid w:val="000269A3"/>
    <w:rsid w:val="00027613"/>
    <w:rsid w:val="000317D3"/>
    <w:rsid w:val="0003414E"/>
    <w:rsid w:val="00045079"/>
    <w:rsid w:val="00045A06"/>
    <w:rsid w:val="00056C5A"/>
    <w:rsid w:val="00061072"/>
    <w:rsid w:val="00061186"/>
    <w:rsid w:val="00064160"/>
    <w:rsid w:val="000718E2"/>
    <w:rsid w:val="00080474"/>
    <w:rsid w:val="00083015"/>
    <w:rsid w:val="00083F16"/>
    <w:rsid w:val="00090EFB"/>
    <w:rsid w:val="00093B9E"/>
    <w:rsid w:val="000A0D19"/>
    <w:rsid w:val="000B5A71"/>
    <w:rsid w:val="000B70A7"/>
    <w:rsid w:val="000D1626"/>
    <w:rsid w:val="000D4F56"/>
    <w:rsid w:val="000D5D47"/>
    <w:rsid w:val="000D6413"/>
    <w:rsid w:val="000D6D25"/>
    <w:rsid w:val="000E5130"/>
    <w:rsid w:val="000E5505"/>
    <w:rsid w:val="000E5CBD"/>
    <w:rsid w:val="00110D33"/>
    <w:rsid w:val="001141D2"/>
    <w:rsid w:val="0012520E"/>
    <w:rsid w:val="0012539C"/>
    <w:rsid w:val="001415B8"/>
    <w:rsid w:val="00141B88"/>
    <w:rsid w:val="00147FB5"/>
    <w:rsid w:val="001546E0"/>
    <w:rsid w:val="00162955"/>
    <w:rsid w:val="00171118"/>
    <w:rsid w:val="0017127F"/>
    <w:rsid w:val="001738C6"/>
    <w:rsid w:val="00185B48"/>
    <w:rsid w:val="00185D8E"/>
    <w:rsid w:val="001867C9"/>
    <w:rsid w:val="001922D1"/>
    <w:rsid w:val="001935CD"/>
    <w:rsid w:val="00197E63"/>
    <w:rsid w:val="001A274C"/>
    <w:rsid w:val="001A3CF6"/>
    <w:rsid w:val="001B4AFC"/>
    <w:rsid w:val="001D0647"/>
    <w:rsid w:val="001D0973"/>
    <w:rsid w:val="001D12CD"/>
    <w:rsid w:val="001D2A32"/>
    <w:rsid w:val="001F28D2"/>
    <w:rsid w:val="001F5D91"/>
    <w:rsid w:val="001F7352"/>
    <w:rsid w:val="002012DE"/>
    <w:rsid w:val="00217F18"/>
    <w:rsid w:val="002208C0"/>
    <w:rsid w:val="00226B88"/>
    <w:rsid w:val="00240962"/>
    <w:rsid w:val="002452A1"/>
    <w:rsid w:val="00247B44"/>
    <w:rsid w:val="00251FD7"/>
    <w:rsid w:val="00265860"/>
    <w:rsid w:val="00265E30"/>
    <w:rsid w:val="00272261"/>
    <w:rsid w:val="00272DEF"/>
    <w:rsid w:val="002750FD"/>
    <w:rsid w:val="00277F29"/>
    <w:rsid w:val="00287F26"/>
    <w:rsid w:val="002912BE"/>
    <w:rsid w:val="002959AC"/>
    <w:rsid w:val="00295AE2"/>
    <w:rsid w:val="002A3AB4"/>
    <w:rsid w:val="002B05F6"/>
    <w:rsid w:val="002C074E"/>
    <w:rsid w:val="002C190C"/>
    <w:rsid w:val="002D0F25"/>
    <w:rsid w:val="002D6F24"/>
    <w:rsid w:val="002E584A"/>
    <w:rsid w:val="002E64EB"/>
    <w:rsid w:val="002F0B8C"/>
    <w:rsid w:val="002F175F"/>
    <w:rsid w:val="002F27BE"/>
    <w:rsid w:val="002F53A4"/>
    <w:rsid w:val="002F55C5"/>
    <w:rsid w:val="002F5D48"/>
    <w:rsid w:val="00301811"/>
    <w:rsid w:val="00303995"/>
    <w:rsid w:val="00312703"/>
    <w:rsid w:val="00322960"/>
    <w:rsid w:val="0032590D"/>
    <w:rsid w:val="00331683"/>
    <w:rsid w:val="00333DC7"/>
    <w:rsid w:val="00336DEF"/>
    <w:rsid w:val="00340036"/>
    <w:rsid w:val="00342689"/>
    <w:rsid w:val="0034327C"/>
    <w:rsid w:val="0035279E"/>
    <w:rsid w:val="00355F36"/>
    <w:rsid w:val="00356CFA"/>
    <w:rsid w:val="003665D1"/>
    <w:rsid w:val="00374D38"/>
    <w:rsid w:val="00375161"/>
    <w:rsid w:val="0038690F"/>
    <w:rsid w:val="00393A86"/>
    <w:rsid w:val="00394FC6"/>
    <w:rsid w:val="003A217D"/>
    <w:rsid w:val="003C0285"/>
    <w:rsid w:val="003C2203"/>
    <w:rsid w:val="003C5968"/>
    <w:rsid w:val="003C6A88"/>
    <w:rsid w:val="003C6AE4"/>
    <w:rsid w:val="003E6030"/>
    <w:rsid w:val="003F4155"/>
    <w:rsid w:val="003F7A68"/>
    <w:rsid w:val="003F7D10"/>
    <w:rsid w:val="004032FA"/>
    <w:rsid w:val="004036B9"/>
    <w:rsid w:val="00411B5A"/>
    <w:rsid w:val="00412187"/>
    <w:rsid w:val="00413BBB"/>
    <w:rsid w:val="0041609A"/>
    <w:rsid w:val="0041771A"/>
    <w:rsid w:val="0043272A"/>
    <w:rsid w:val="00432759"/>
    <w:rsid w:val="004350DB"/>
    <w:rsid w:val="0044123D"/>
    <w:rsid w:val="004421AF"/>
    <w:rsid w:val="00442D9F"/>
    <w:rsid w:val="0045173F"/>
    <w:rsid w:val="004530B0"/>
    <w:rsid w:val="00461A8D"/>
    <w:rsid w:val="00480A24"/>
    <w:rsid w:val="00484C63"/>
    <w:rsid w:val="004971AD"/>
    <w:rsid w:val="004A21DF"/>
    <w:rsid w:val="004A4A7E"/>
    <w:rsid w:val="004B1CA0"/>
    <w:rsid w:val="004B65E5"/>
    <w:rsid w:val="004C10E6"/>
    <w:rsid w:val="004C315B"/>
    <w:rsid w:val="004C61A2"/>
    <w:rsid w:val="004C6FFF"/>
    <w:rsid w:val="004C742D"/>
    <w:rsid w:val="004D3955"/>
    <w:rsid w:val="004D5A4D"/>
    <w:rsid w:val="004E552D"/>
    <w:rsid w:val="004F40C6"/>
    <w:rsid w:val="00502427"/>
    <w:rsid w:val="005024D3"/>
    <w:rsid w:val="00503C16"/>
    <w:rsid w:val="0051002D"/>
    <w:rsid w:val="005159B7"/>
    <w:rsid w:val="00520397"/>
    <w:rsid w:val="00526DE3"/>
    <w:rsid w:val="00530688"/>
    <w:rsid w:val="005313D5"/>
    <w:rsid w:val="00532464"/>
    <w:rsid w:val="00532C68"/>
    <w:rsid w:val="0053623B"/>
    <w:rsid w:val="005455D9"/>
    <w:rsid w:val="005463D7"/>
    <w:rsid w:val="005537D1"/>
    <w:rsid w:val="00562115"/>
    <w:rsid w:val="00571A2B"/>
    <w:rsid w:val="00573E1A"/>
    <w:rsid w:val="0057571F"/>
    <w:rsid w:val="0058150A"/>
    <w:rsid w:val="0058182F"/>
    <w:rsid w:val="0058418A"/>
    <w:rsid w:val="00591271"/>
    <w:rsid w:val="00593E9B"/>
    <w:rsid w:val="00597ABD"/>
    <w:rsid w:val="005B672E"/>
    <w:rsid w:val="005C4632"/>
    <w:rsid w:val="005C54C7"/>
    <w:rsid w:val="005C750D"/>
    <w:rsid w:val="005D31CF"/>
    <w:rsid w:val="005E10F0"/>
    <w:rsid w:val="005E26DC"/>
    <w:rsid w:val="005E7CAE"/>
    <w:rsid w:val="00603581"/>
    <w:rsid w:val="00610291"/>
    <w:rsid w:val="00614136"/>
    <w:rsid w:val="006214DD"/>
    <w:rsid w:val="00630EE8"/>
    <w:rsid w:val="00631959"/>
    <w:rsid w:val="006323F3"/>
    <w:rsid w:val="00632CB3"/>
    <w:rsid w:val="00640926"/>
    <w:rsid w:val="0064706F"/>
    <w:rsid w:val="00652E03"/>
    <w:rsid w:val="00667073"/>
    <w:rsid w:val="00673EA2"/>
    <w:rsid w:val="00676C2D"/>
    <w:rsid w:val="00681031"/>
    <w:rsid w:val="006831F0"/>
    <w:rsid w:val="00684CB5"/>
    <w:rsid w:val="00691D45"/>
    <w:rsid w:val="006B0870"/>
    <w:rsid w:val="006B64EE"/>
    <w:rsid w:val="006C7DF9"/>
    <w:rsid w:val="006D10DD"/>
    <w:rsid w:val="006D6FA4"/>
    <w:rsid w:val="006E5F39"/>
    <w:rsid w:val="006E5F3D"/>
    <w:rsid w:val="006F1373"/>
    <w:rsid w:val="0070213E"/>
    <w:rsid w:val="007223FF"/>
    <w:rsid w:val="00726202"/>
    <w:rsid w:val="007305C2"/>
    <w:rsid w:val="00735D41"/>
    <w:rsid w:val="007454A1"/>
    <w:rsid w:val="007678A6"/>
    <w:rsid w:val="00772761"/>
    <w:rsid w:val="007836F6"/>
    <w:rsid w:val="00784058"/>
    <w:rsid w:val="00785579"/>
    <w:rsid w:val="007869D4"/>
    <w:rsid w:val="0079024E"/>
    <w:rsid w:val="00790483"/>
    <w:rsid w:val="00793BF6"/>
    <w:rsid w:val="0079479F"/>
    <w:rsid w:val="007A2BB5"/>
    <w:rsid w:val="007A6673"/>
    <w:rsid w:val="007B22E0"/>
    <w:rsid w:val="007B4C07"/>
    <w:rsid w:val="007D2172"/>
    <w:rsid w:val="007E1EDB"/>
    <w:rsid w:val="007E7E04"/>
    <w:rsid w:val="007F1269"/>
    <w:rsid w:val="0081030F"/>
    <w:rsid w:val="008159E4"/>
    <w:rsid w:val="008341A8"/>
    <w:rsid w:val="00836835"/>
    <w:rsid w:val="00836F03"/>
    <w:rsid w:val="00844B7A"/>
    <w:rsid w:val="00851449"/>
    <w:rsid w:val="00853E4D"/>
    <w:rsid w:val="00862723"/>
    <w:rsid w:val="00864355"/>
    <w:rsid w:val="00874F61"/>
    <w:rsid w:val="00880588"/>
    <w:rsid w:val="00884157"/>
    <w:rsid w:val="008847CD"/>
    <w:rsid w:val="00885E64"/>
    <w:rsid w:val="00886B7A"/>
    <w:rsid w:val="00895369"/>
    <w:rsid w:val="008A4C05"/>
    <w:rsid w:val="008A52AD"/>
    <w:rsid w:val="008A6C82"/>
    <w:rsid w:val="008B1D42"/>
    <w:rsid w:val="008C5262"/>
    <w:rsid w:val="008D1442"/>
    <w:rsid w:val="008D18DE"/>
    <w:rsid w:val="008D303D"/>
    <w:rsid w:val="008D331E"/>
    <w:rsid w:val="008D3C1A"/>
    <w:rsid w:val="008D6EB2"/>
    <w:rsid w:val="008F091B"/>
    <w:rsid w:val="0090682C"/>
    <w:rsid w:val="0091099F"/>
    <w:rsid w:val="00920DD3"/>
    <w:rsid w:val="0093415B"/>
    <w:rsid w:val="00940798"/>
    <w:rsid w:val="00942A5F"/>
    <w:rsid w:val="009469EB"/>
    <w:rsid w:val="00946B20"/>
    <w:rsid w:val="00950E02"/>
    <w:rsid w:val="009543B7"/>
    <w:rsid w:val="00965135"/>
    <w:rsid w:val="00966A1C"/>
    <w:rsid w:val="00976B8D"/>
    <w:rsid w:val="00982578"/>
    <w:rsid w:val="00987115"/>
    <w:rsid w:val="0098782B"/>
    <w:rsid w:val="0099325A"/>
    <w:rsid w:val="0099369D"/>
    <w:rsid w:val="009A3D49"/>
    <w:rsid w:val="009A3EA3"/>
    <w:rsid w:val="009A5797"/>
    <w:rsid w:val="009B06FA"/>
    <w:rsid w:val="009D2A05"/>
    <w:rsid w:val="00A01E19"/>
    <w:rsid w:val="00A055AE"/>
    <w:rsid w:val="00A1046D"/>
    <w:rsid w:val="00A15A84"/>
    <w:rsid w:val="00A174A2"/>
    <w:rsid w:val="00A22B40"/>
    <w:rsid w:val="00A23C70"/>
    <w:rsid w:val="00A23FF5"/>
    <w:rsid w:val="00A27D9A"/>
    <w:rsid w:val="00A367B7"/>
    <w:rsid w:val="00A424A5"/>
    <w:rsid w:val="00A429CD"/>
    <w:rsid w:val="00A47C80"/>
    <w:rsid w:val="00A647D4"/>
    <w:rsid w:val="00A66249"/>
    <w:rsid w:val="00A6672C"/>
    <w:rsid w:val="00A67320"/>
    <w:rsid w:val="00A743DE"/>
    <w:rsid w:val="00A752BC"/>
    <w:rsid w:val="00A84911"/>
    <w:rsid w:val="00A924BE"/>
    <w:rsid w:val="00A95CB6"/>
    <w:rsid w:val="00A96EFA"/>
    <w:rsid w:val="00AB17D1"/>
    <w:rsid w:val="00AB7BB2"/>
    <w:rsid w:val="00AC15A7"/>
    <w:rsid w:val="00AD4531"/>
    <w:rsid w:val="00AD7F54"/>
    <w:rsid w:val="00AE1367"/>
    <w:rsid w:val="00AE5898"/>
    <w:rsid w:val="00AF1C67"/>
    <w:rsid w:val="00AF3BF1"/>
    <w:rsid w:val="00B11D1B"/>
    <w:rsid w:val="00B17A70"/>
    <w:rsid w:val="00B20EA7"/>
    <w:rsid w:val="00B274D5"/>
    <w:rsid w:val="00B35E8E"/>
    <w:rsid w:val="00B411D7"/>
    <w:rsid w:val="00B5077C"/>
    <w:rsid w:val="00B606BC"/>
    <w:rsid w:val="00B62FBF"/>
    <w:rsid w:val="00B630A1"/>
    <w:rsid w:val="00B65130"/>
    <w:rsid w:val="00B717CC"/>
    <w:rsid w:val="00B758BC"/>
    <w:rsid w:val="00B7637D"/>
    <w:rsid w:val="00B82D3A"/>
    <w:rsid w:val="00B845FA"/>
    <w:rsid w:val="00B90A7C"/>
    <w:rsid w:val="00B93B47"/>
    <w:rsid w:val="00B96C4A"/>
    <w:rsid w:val="00BA4B9A"/>
    <w:rsid w:val="00BB2E5D"/>
    <w:rsid w:val="00BC748E"/>
    <w:rsid w:val="00BC7919"/>
    <w:rsid w:val="00BE17CC"/>
    <w:rsid w:val="00C00856"/>
    <w:rsid w:val="00C040C8"/>
    <w:rsid w:val="00C11397"/>
    <w:rsid w:val="00C14A8A"/>
    <w:rsid w:val="00C15465"/>
    <w:rsid w:val="00C2442A"/>
    <w:rsid w:val="00C2569D"/>
    <w:rsid w:val="00C41AB4"/>
    <w:rsid w:val="00C430B2"/>
    <w:rsid w:val="00C4411C"/>
    <w:rsid w:val="00C46D94"/>
    <w:rsid w:val="00C47164"/>
    <w:rsid w:val="00C564BC"/>
    <w:rsid w:val="00C56932"/>
    <w:rsid w:val="00C6295F"/>
    <w:rsid w:val="00C654BB"/>
    <w:rsid w:val="00C741AB"/>
    <w:rsid w:val="00C80AAD"/>
    <w:rsid w:val="00C80DC1"/>
    <w:rsid w:val="00C91215"/>
    <w:rsid w:val="00C919F6"/>
    <w:rsid w:val="00CA3735"/>
    <w:rsid w:val="00CA3BC2"/>
    <w:rsid w:val="00CA525D"/>
    <w:rsid w:val="00CA5347"/>
    <w:rsid w:val="00CB050D"/>
    <w:rsid w:val="00CB72FF"/>
    <w:rsid w:val="00CC0204"/>
    <w:rsid w:val="00CC0DEF"/>
    <w:rsid w:val="00CC7F0F"/>
    <w:rsid w:val="00CD7408"/>
    <w:rsid w:val="00CE3DC9"/>
    <w:rsid w:val="00CE6A65"/>
    <w:rsid w:val="00CF4D56"/>
    <w:rsid w:val="00CF7009"/>
    <w:rsid w:val="00D00830"/>
    <w:rsid w:val="00D06FFA"/>
    <w:rsid w:val="00D116F4"/>
    <w:rsid w:val="00D334E9"/>
    <w:rsid w:val="00D34EA4"/>
    <w:rsid w:val="00D357FA"/>
    <w:rsid w:val="00D42D23"/>
    <w:rsid w:val="00D432D4"/>
    <w:rsid w:val="00D535FC"/>
    <w:rsid w:val="00D60500"/>
    <w:rsid w:val="00D70C55"/>
    <w:rsid w:val="00D75EDE"/>
    <w:rsid w:val="00D82688"/>
    <w:rsid w:val="00D92383"/>
    <w:rsid w:val="00D965AB"/>
    <w:rsid w:val="00DA4D4E"/>
    <w:rsid w:val="00DA5138"/>
    <w:rsid w:val="00DA5AF8"/>
    <w:rsid w:val="00DB2E73"/>
    <w:rsid w:val="00DB4E9F"/>
    <w:rsid w:val="00DC11DC"/>
    <w:rsid w:val="00DC2628"/>
    <w:rsid w:val="00DC4B94"/>
    <w:rsid w:val="00DD1691"/>
    <w:rsid w:val="00DD43B6"/>
    <w:rsid w:val="00DD6228"/>
    <w:rsid w:val="00DE0AFC"/>
    <w:rsid w:val="00DE142A"/>
    <w:rsid w:val="00DE3927"/>
    <w:rsid w:val="00DE7D01"/>
    <w:rsid w:val="00DF0D85"/>
    <w:rsid w:val="00DF2C69"/>
    <w:rsid w:val="00DF6083"/>
    <w:rsid w:val="00DF6774"/>
    <w:rsid w:val="00E05308"/>
    <w:rsid w:val="00E1167D"/>
    <w:rsid w:val="00E12B44"/>
    <w:rsid w:val="00E224E1"/>
    <w:rsid w:val="00E247DD"/>
    <w:rsid w:val="00E27AE6"/>
    <w:rsid w:val="00E32200"/>
    <w:rsid w:val="00E41CD6"/>
    <w:rsid w:val="00E43393"/>
    <w:rsid w:val="00E454BF"/>
    <w:rsid w:val="00E458D6"/>
    <w:rsid w:val="00E50401"/>
    <w:rsid w:val="00E51558"/>
    <w:rsid w:val="00E52ACD"/>
    <w:rsid w:val="00E60A99"/>
    <w:rsid w:val="00E7342E"/>
    <w:rsid w:val="00E76612"/>
    <w:rsid w:val="00E77351"/>
    <w:rsid w:val="00E77E03"/>
    <w:rsid w:val="00E80E43"/>
    <w:rsid w:val="00E83C52"/>
    <w:rsid w:val="00E8675F"/>
    <w:rsid w:val="00E96858"/>
    <w:rsid w:val="00EA4F5D"/>
    <w:rsid w:val="00EA5066"/>
    <w:rsid w:val="00EB25E9"/>
    <w:rsid w:val="00EB4515"/>
    <w:rsid w:val="00EB67FC"/>
    <w:rsid w:val="00EC28C1"/>
    <w:rsid w:val="00EC7BA8"/>
    <w:rsid w:val="00ED4015"/>
    <w:rsid w:val="00F03760"/>
    <w:rsid w:val="00F204C1"/>
    <w:rsid w:val="00F20A83"/>
    <w:rsid w:val="00F24B24"/>
    <w:rsid w:val="00F26578"/>
    <w:rsid w:val="00F31B04"/>
    <w:rsid w:val="00F323B4"/>
    <w:rsid w:val="00F36C74"/>
    <w:rsid w:val="00F503FD"/>
    <w:rsid w:val="00F658FF"/>
    <w:rsid w:val="00F77C66"/>
    <w:rsid w:val="00F816CB"/>
    <w:rsid w:val="00F81EEF"/>
    <w:rsid w:val="00F84566"/>
    <w:rsid w:val="00F85DF4"/>
    <w:rsid w:val="00F92E35"/>
    <w:rsid w:val="00FA2F27"/>
    <w:rsid w:val="00FA4087"/>
    <w:rsid w:val="00FA7246"/>
    <w:rsid w:val="00FB64B9"/>
    <w:rsid w:val="00FB7048"/>
    <w:rsid w:val="00FB7937"/>
    <w:rsid w:val="00FD023E"/>
    <w:rsid w:val="00FD5915"/>
    <w:rsid w:val="00FE396E"/>
    <w:rsid w:val="00FF0AA7"/>
    <w:rsid w:val="00FF13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3CBDE4-4F5B-4AA5-BB4D-9F30D056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61"/>
  </w:style>
  <w:style w:type="paragraph" w:styleId="Ttulo1">
    <w:name w:val="heading 1"/>
    <w:basedOn w:val="Normal"/>
    <w:next w:val="Normal"/>
    <w:link w:val="Heading1Char"/>
    <w:uiPriority w:val="9"/>
    <w:qFormat/>
    <w:rsid w:val="000317D3"/>
    <w:pPr>
      <w:jc w:val="both"/>
      <w:outlineLvl w:val="0"/>
    </w:pPr>
    <w:rPr>
      <w:rFonts w:eastAsia="Times New Roman"/>
      <w:b/>
      <w:sz w:val="24"/>
    </w:rPr>
  </w:style>
  <w:style w:type="paragraph" w:styleId="Ttulo3">
    <w:name w:val="heading 3"/>
    <w:basedOn w:val="Normal"/>
    <w:next w:val="Normal"/>
    <w:link w:val="Heading3Char"/>
    <w:uiPriority w:val="9"/>
    <w:semiHidden/>
    <w:unhideWhenUsed/>
    <w:qFormat/>
    <w:rsid w:val="004F40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5C4632"/>
    <w:rPr>
      <w:vertAlign w:val="superscript"/>
    </w:rPr>
  </w:style>
  <w:style w:type="paragraph" w:styleId="Textonotapie">
    <w:name w:val="footnote text"/>
    <w:aliases w:val="fn,Footnote Text Char,ft,single space,footnote text"/>
    <w:basedOn w:val="Normal"/>
    <w:link w:val="FootnoteTextChar1"/>
    <w:autoRedefine/>
    <w:semiHidden/>
    <w:rsid w:val="00045A06"/>
    <w:pPr>
      <w:keepLines/>
      <w:suppressAutoHyphens/>
      <w:jc w:val="both"/>
    </w:pPr>
    <w:rPr>
      <w:rFonts w:eastAsia="Times New Roman"/>
      <w:snapToGrid w:val="0"/>
    </w:rPr>
  </w:style>
  <w:style w:type="character" w:customStyle="1" w:styleId="FootnoteTextChar1">
    <w:name w:val="Footnote Text Char1"/>
    <w:aliases w:val="fn Char,Footnote Text Char Char,ft Char,single space Char,footnote text Char"/>
    <w:basedOn w:val="Fuentedeprrafopredeter"/>
    <w:link w:val="Textonotapie"/>
    <w:semiHidden/>
    <w:rsid w:val="00045A06"/>
    <w:rPr>
      <w:rFonts w:eastAsia="Times New Roman"/>
      <w:snapToGrid w:val="0"/>
    </w:rPr>
  </w:style>
  <w:style w:type="paragraph" w:styleId="Prrafodelista">
    <w:name w:val="List Paragraph"/>
    <w:basedOn w:val="Normal"/>
    <w:uiPriority w:val="34"/>
    <w:qFormat/>
    <w:rsid w:val="00DB2E73"/>
    <w:pPr>
      <w:ind w:left="720"/>
      <w:contextualSpacing/>
    </w:pPr>
  </w:style>
  <w:style w:type="paragraph" w:styleId="NormalWeb">
    <w:name w:val="Normal (Web)"/>
    <w:basedOn w:val="Normal"/>
    <w:uiPriority w:val="99"/>
    <w:unhideWhenUsed/>
    <w:rsid w:val="00AF3BF1"/>
    <w:pPr>
      <w:spacing w:before="100" w:beforeAutospacing="1" w:after="100" w:afterAutospacing="1"/>
    </w:pPr>
    <w:rPr>
      <w:rFonts w:eastAsiaTheme="minorEastAsia"/>
      <w:sz w:val="24"/>
      <w:szCs w:val="24"/>
      <w:lang w:val="es-CL" w:eastAsia="es-CL"/>
    </w:rPr>
  </w:style>
  <w:style w:type="character" w:styleId="nfasis">
    <w:name w:val="Emphasis"/>
    <w:basedOn w:val="Fuentedeprrafopredeter"/>
    <w:uiPriority w:val="20"/>
    <w:qFormat/>
    <w:rsid w:val="00AF3BF1"/>
    <w:rPr>
      <w:i/>
      <w:iCs/>
    </w:rPr>
  </w:style>
  <w:style w:type="paragraph" w:styleId="Encabezado">
    <w:name w:val="header"/>
    <w:basedOn w:val="Normal"/>
    <w:link w:val="HeaderChar"/>
    <w:uiPriority w:val="99"/>
    <w:unhideWhenUsed/>
    <w:rsid w:val="008A52AD"/>
    <w:pPr>
      <w:tabs>
        <w:tab w:val="center" w:pos="4419"/>
        <w:tab w:val="right" w:pos="8838"/>
      </w:tabs>
    </w:pPr>
  </w:style>
  <w:style w:type="character" w:customStyle="1" w:styleId="HeaderChar">
    <w:name w:val="Header Char"/>
    <w:basedOn w:val="Fuentedeprrafopredeter"/>
    <w:link w:val="Encabezado"/>
    <w:uiPriority w:val="99"/>
    <w:rsid w:val="008A52AD"/>
  </w:style>
  <w:style w:type="paragraph" w:styleId="Piedepgina">
    <w:name w:val="footer"/>
    <w:basedOn w:val="Normal"/>
    <w:link w:val="FooterChar"/>
    <w:uiPriority w:val="99"/>
    <w:unhideWhenUsed/>
    <w:rsid w:val="008A52AD"/>
    <w:pPr>
      <w:tabs>
        <w:tab w:val="center" w:pos="4419"/>
        <w:tab w:val="right" w:pos="8838"/>
      </w:tabs>
    </w:pPr>
  </w:style>
  <w:style w:type="character" w:customStyle="1" w:styleId="FooterChar">
    <w:name w:val="Footer Char"/>
    <w:basedOn w:val="Fuentedeprrafopredeter"/>
    <w:link w:val="Piedepgina"/>
    <w:uiPriority w:val="99"/>
    <w:rsid w:val="008A52AD"/>
  </w:style>
  <w:style w:type="character" w:styleId="Hipervnculo">
    <w:name w:val="Hyperlink"/>
    <w:basedOn w:val="Fuentedeprrafopredeter"/>
    <w:uiPriority w:val="99"/>
    <w:unhideWhenUsed/>
    <w:rsid w:val="00375161"/>
    <w:rPr>
      <w:color w:val="000033"/>
      <w:u w:val="single"/>
    </w:rPr>
  </w:style>
  <w:style w:type="character" w:styleId="Textoennegrita">
    <w:name w:val="Strong"/>
    <w:basedOn w:val="Fuentedeprrafopredeter"/>
    <w:uiPriority w:val="22"/>
    <w:qFormat/>
    <w:rsid w:val="00375161"/>
    <w:rPr>
      <w:b/>
      <w:bCs/>
    </w:rPr>
  </w:style>
  <w:style w:type="paragraph" w:styleId="Sangra2detindependiente">
    <w:name w:val="Body Text Indent 2"/>
    <w:basedOn w:val="Normal"/>
    <w:link w:val="BodyTextIndent2Char"/>
    <w:rsid w:val="00375161"/>
    <w:pPr>
      <w:widowControl w:val="0"/>
      <w:ind w:left="1418" w:firstLine="720"/>
      <w:jc w:val="both"/>
    </w:pPr>
    <w:rPr>
      <w:rFonts w:ascii="Book Antiqua" w:eastAsia="Times New Roman" w:hAnsi="Book Antiqua"/>
      <w:snapToGrid w:val="0"/>
      <w:sz w:val="24"/>
      <w:lang w:val="en-US"/>
    </w:rPr>
  </w:style>
  <w:style w:type="character" w:customStyle="1" w:styleId="BodyTextIndent2Char">
    <w:name w:val="Body Text Indent 2 Char"/>
    <w:basedOn w:val="Fuentedeprrafopredeter"/>
    <w:link w:val="Sangra2detindependiente"/>
    <w:rsid w:val="00375161"/>
    <w:rPr>
      <w:rFonts w:ascii="Book Antiqua" w:eastAsia="Times New Roman" w:hAnsi="Book Antiqua"/>
      <w:snapToGrid w:val="0"/>
      <w:sz w:val="24"/>
      <w:lang w:val="en-US"/>
    </w:rPr>
  </w:style>
  <w:style w:type="paragraph" w:styleId="Textodeglobo">
    <w:name w:val="Balloon Text"/>
    <w:basedOn w:val="Normal"/>
    <w:link w:val="BalloonTextChar"/>
    <w:uiPriority w:val="99"/>
    <w:semiHidden/>
    <w:unhideWhenUsed/>
    <w:rsid w:val="00375161"/>
    <w:pPr>
      <w:ind w:left="1418" w:firstLine="720"/>
      <w:jc w:val="both"/>
    </w:pPr>
    <w:rPr>
      <w:rFonts w:ascii="Tahoma" w:hAnsi="Tahoma" w:cstheme="minorBidi"/>
      <w:sz w:val="16"/>
      <w:szCs w:val="16"/>
    </w:rPr>
  </w:style>
  <w:style w:type="character" w:customStyle="1" w:styleId="BalloonTextChar">
    <w:name w:val="Balloon Text Char"/>
    <w:basedOn w:val="Fuentedeprrafopredeter"/>
    <w:link w:val="Textodeglobo"/>
    <w:uiPriority w:val="99"/>
    <w:semiHidden/>
    <w:rsid w:val="00375161"/>
    <w:rPr>
      <w:rFonts w:ascii="Tahoma" w:hAnsi="Tahoma" w:cstheme="minorBidi"/>
      <w:sz w:val="16"/>
      <w:szCs w:val="16"/>
    </w:rPr>
  </w:style>
  <w:style w:type="paragraph" w:styleId="Sangradetextonormal">
    <w:name w:val="Body Text Indent"/>
    <w:basedOn w:val="Normal"/>
    <w:link w:val="BodyTextIndentChar"/>
    <w:uiPriority w:val="99"/>
    <w:unhideWhenUsed/>
    <w:rsid w:val="00375161"/>
    <w:pPr>
      <w:spacing w:after="120" w:line="360" w:lineRule="auto"/>
      <w:ind w:left="283" w:firstLine="720"/>
      <w:jc w:val="both"/>
    </w:pPr>
    <w:rPr>
      <w:rFonts w:cstheme="minorBidi"/>
      <w:sz w:val="24"/>
      <w:szCs w:val="22"/>
    </w:rPr>
  </w:style>
  <w:style w:type="character" w:customStyle="1" w:styleId="BodyTextIndentChar">
    <w:name w:val="Body Text Indent Char"/>
    <w:basedOn w:val="Fuentedeprrafopredeter"/>
    <w:link w:val="Sangradetextonormal"/>
    <w:uiPriority w:val="99"/>
    <w:rsid w:val="00375161"/>
    <w:rPr>
      <w:rFonts w:cstheme="minorBidi"/>
      <w:sz w:val="24"/>
      <w:szCs w:val="22"/>
    </w:rPr>
  </w:style>
  <w:style w:type="character" w:styleId="Refdecomentario">
    <w:name w:val="annotation reference"/>
    <w:uiPriority w:val="99"/>
    <w:rsid w:val="00A429CD"/>
    <w:rPr>
      <w:sz w:val="16"/>
      <w:szCs w:val="16"/>
    </w:rPr>
  </w:style>
  <w:style w:type="paragraph" w:styleId="Textocomentario">
    <w:name w:val="annotation text"/>
    <w:basedOn w:val="Normal"/>
    <w:link w:val="CommentTextChar"/>
    <w:uiPriority w:val="99"/>
    <w:rsid w:val="00A429CD"/>
    <w:rPr>
      <w:rFonts w:eastAsia="Times New Roman"/>
    </w:rPr>
  </w:style>
  <w:style w:type="character" w:customStyle="1" w:styleId="CommentTextChar">
    <w:name w:val="Comment Text Char"/>
    <w:basedOn w:val="Fuentedeprrafopredeter"/>
    <w:link w:val="Textocomentario"/>
    <w:uiPriority w:val="99"/>
    <w:rsid w:val="00A429CD"/>
    <w:rPr>
      <w:rFonts w:eastAsia="Times New Roman"/>
    </w:rPr>
  </w:style>
  <w:style w:type="character" w:customStyle="1" w:styleId="Heading1Char">
    <w:name w:val="Heading 1 Char"/>
    <w:basedOn w:val="Fuentedeprrafopredeter"/>
    <w:link w:val="Ttulo1"/>
    <w:uiPriority w:val="9"/>
    <w:rsid w:val="000317D3"/>
    <w:rPr>
      <w:rFonts w:eastAsia="Times New Roman"/>
      <w:b/>
      <w:sz w:val="24"/>
    </w:rPr>
  </w:style>
  <w:style w:type="paragraph" w:customStyle="1" w:styleId="Cuadrculamedia1-nfasis21">
    <w:name w:val="Cuadrícula media 1 - Énfasis 21"/>
    <w:basedOn w:val="Normal"/>
    <w:uiPriority w:val="34"/>
    <w:qFormat/>
    <w:rsid w:val="004D3955"/>
    <w:pPr>
      <w:ind w:left="720"/>
      <w:contextualSpacing/>
    </w:pPr>
    <w:rPr>
      <w:rFonts w:eastAsia="Times New Roman"/>
    </w:rPr>
  </w:style>
  <w:style w:type="paragraph" w:styleId="Asuntodelcomentario">
    <w:name w:val="annotation subject"/>
    <w:basedOn w:val="Textocomentario"/>
    <w:next w:val="Textocomentario"/>
    <w:link w:val="CommentSubjectChar"/>
    <w:uiPriority w:val="99"/>
    <w:semiHidden/>
    <w:unhideWhenUsed/>
    <w:rsid w:val="007305C2"/>
    <w:rPr>
      <w:rFonts w:eastAsiaTheme="minorHAnsi"/>
      <w:b/>
      <w:bCs/>
    </w:rPr>
  </w:style>
  <w:style w:type="character" w:customStyle="1" w:styleId="CommentSubjectChar">
    <w:name w:val="Comment Subject Char"/>
    <w:basedOn w:val="CommentTextChar"/>
    <w:link w:val="Asuntodelcomentario"/>
    <w:uiPriority w:val="99"/>
    <w:semiHidden/>
    <w:rsid w:val="007305C2"/>
    <w:rPr>
      <w:rFonts w:eastAsia="Times New Roman"/>
      <w:b/>
      <w:bCs/>
    </w:rPr>
  </w:style>
  <w:style w:type="paragraph" w:styleId="Descripcin">
    <w:name w:val="caption"/>
    <w:basedOn w:val="Normal"/>
    <w:next w:val="Normal"/>
    <w:uiPriority w:val="35"/>
    <w:unhideWhenUsed/>
    <w:qFormat/>
    <w:rsid w:val="00DD43B6"/>
    <w:pPr>
      <w:spacing w:after="200"/>
    </w:pPr>
    <w:rPr>
      <w:b/>
      <w:bCs/>
      <w:color w:val="4F81BD" w:themeColor="accent1"/>
      <w:sz w:val="18"/>
      <w:szCs w:val="18"/>
    </w:rPr>
  </w:style>
  <w:style w:type="paragraph" w:styleId="Revisin">
    <w:name w:val="Revision"/>
    <w:hidden/>
    <w:uiPriority w:val="99"/>
    <w:semiHidden/>
    <w:rsid w:val="00BC748E"/>
    <w:rPr>
      <w:lang w:val="en-US"/>
    </w:rPr>
  </w:style>
  <w:style w:type="paragraph" w:styleId="TtulodeTDC">
    <w:name w:val="TOC Heading"/>
    <w:basedOn w:val="Ttulo1"/>
    <w:next w:val="Normal"/>
    <w:uiPriority w:val="39"/>
    <w:unhideWhenUsed/>
    <w:qFormat/>
    <w:rsid w:val="00EA5066"/>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DC1">
    <w:name w:val="toc 1"/>
    <w:basedOn w:val="Normal"/>
    <w:next w:val="Normal"/>
    <w:autoRedefine/>
    <w:uiPriority w:val="39"/>
    <w:unhideWhenUsed/>
    <w:rsid w:val="00EA5066"/>
    <w:pPr>
      <w:spacing w:after="100"/>
    </w:pPr>
  </w:style>
  <w:style w:type="paragraph" w:styleId="TDC2">
    <w:name w:val="toc 2"/>
    <w:basedOn w:val="Normal"/>
    <w:next w:val="Normal"/>
    <w:autoRedefine/>
    <w:uiPriority w:val="39"/>
    <w:unhideWhenUsed/>
    <w:rsid w:val="00D334E9"/>
    <w:pPr>
      <w:spacing w:after="100"/>
      <w:ind w:left="200"/>
    </w:pPr>
  </w:style>
  <w:style w:type="character" w:customStyle="1" w:styleId="Heading3Char">
    <w:name w:val="Heading 3 Char"/>
    <w:basedOn w:val="Fuentedeprrafopredeter"/>
    <w:link w:val="Ttulo3"/>
    <w:uiPriority w:val="9"/>
    <w:semiHidden/>
    <w:rsid w:val="004F40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10396">
      <w:bodyDiv w:val="1"/>
      <w:marLeft w:val="0"/>
      <w:marRight w:val="0"/>
      <w:marTop w:val="0"/>
      <w:marBottom w:val="0"/>
      <w:divBdr>
        <w:top w:val="none" w:sz="0" w:space="0" w:color="auto"/>
        <w:left w:val="none" w:sz="0" w:space="0" w:color="auto"/>
        <w:bottom w:val="none" w:sz="0" w:space="0" w:color="auto"/>
        <w:right w:val="none" w:sz="0" w:space="0" w:color="auto"/>
      </w:divBdr>
    </w:div>
    <w:div w:id="552427581">
      <w:bodyDiv w:val="1"/>
      <w:marLeft w:val="0"/>
      <w:marRight w:val="0"/>
      <w:marTop w:val="0"/>
      <w:marBottom w:val="0"/>
      <w:divBdr>
        <w:top w:val="none" w:sz="0" w:space="0" w:color="auto"/>
        <w:left w:val="none" w:sz="0" w:space="0" w:color="auto"/>
        <w:bottom w:val="none" w:sz="0" w:space="0" w:color="auto"/>
        <w:right w:val="none" w:sz="0" w:space="0" w:color="auto"/>
      </w:divBdr>
    </w:div>
    <w:div w:id="916285805">
      <w:bodyDiv w:val="1"/>
      <w:marLeft w:val="0"/>
      <w:marRight w:val="0"/>
      <w:marTop w:val="0"/>
      <w:marBottom w:val="0"/>
      <w:divBdr>
        <w:top w:val="none" w:sz="0" w:space="0" w:color="auto"/>
        <w:left w:val="none" w:sz="0" w:space="0" w:color="auto"/>
        <w:bottom w:val="none" w:sz="0" w:space="0" w:color="auto"/>
        <w:right w:val="none" w:sz="0" w:space="0" w:color="auto"/>
      </w:divBdr>
    </w:div>
    <w:div w:id="1566405845">
      <w:bodyDiv w:val="1"/>
      <w:marLeft w:val="0"/>
      <w:marRight w:val="0"/>
      <w:marTop w:val="0"/>
      <w:marBottom w:val="0"/>
      <w:divBdr>
        <w:top w:val="none" w:sz="0" w:space="0" w:color="auto"/>
        <w:left w:val="none" w:sz="0" w:space="0" w:color="auto"/>
        <w:bottom w:val="none" w:sz="0" w:space="0" w:color="auto"/>
        <w:right w:val="none" w:sz="0" w:space="0" w:color="auto"/>
      </w:divBdr>
    </w:div>
    <w:div w:id="1775200590">
      <w:bodyDiv w:val="1"/>
      <w:marLeft w:val="0"/>
      <w:marRight w:val="0"/>
      <w:marTop w:val="0"/>
      <w:marBottom w:val="0"/>
      <w:divBdr>
        <w:top w:val="none" w:sz="0" w:space="0" w:color="auto"/>
        <w:left w:val="none" w:sz="0" w:space="0" w:color="auto"/>
        <w:bottom w:val="none" w:sz="0" w:space="0" w:color="auto"/>
        <w:right w:val="none" w:sz="0" w:space="0" w:color="auto"/>
      </w:divBdr>
    </w:div>
    <w:div w:id="1824201446">
      <w:bodyDiv w:val="1"/>
      <w:marLeft w:val="0"/>
      <w:marRight w:val="0"/>
      <w:marTop w:val="0"/>
      <w:marBottom w:val="0"/>
      <w:divBdr>
        <w:top w:val="none" w:sz="0" w:space="0" w:color="auto"/>
        <w:left w:val="none" w:sz="0" w:space="0" w:color="auto"/>
        <w:bottom w:val="none" w:sz="0" w:space="0" w:color="auto"/>
        <w:right w:val="none" w:sz="0" w:space="0" w:color="auto"/>
      </w:divBdr>
    </w:div>
    <w:div w:id="19653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milo\Dropbox\Sim&#243;n\Universidad\Ayudant&#237;as%20de%20Investigaci&#243;n\Ricardo%20Ffrench-Davis\Paper%20Alemania\PIB%20potencial_ICOR_ene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S"/>
            </a:pPr>
            <a:r>
              <a:rPr lang="en-US" sz="1800" b="1" i="0" baseline="0">
                <a:effectLst/>
              </a:rPr>
              <a:t>Actual and Potential GDP, 1971 - 1989</a:t>
            </a:r>
          </a:p>
          <a:p>
            <a:pPr>
              <a:defRPr lang="es-ES"/>
            </a:pPr>
            <a:r>
              <a:rPr lang="en-US" sz="1200" b="0">
                <a:effectLst/>
              </a:rPr>
              <a:t>(log</a:t>
            </a:r>
            <a:r>
              <a:rPr lang="en-US" sz="1200" b="0" baseline="0">
                <a:effectLst/>
              </a:rPr>
              <a:t> scale, Potential GDP 1996=100)</a:t>
            </a:r>
            <a:endParaRPr lang="en-US" sz="1200" b="0">
              <a:effectLst/>
            </a:endParaRPr>
          </a:p>
        </c:rich>
      </c:tx>
      <c:overlay val="0"/>
    </c:title>
    <c:autoTitleDeleted val="0"/>
    <c:plotArea>
      <c:layout>
        <c:manualLayout>
          <c:layoutTarget val="inner"/>
          <c:xMode val="edge"/>
          <c:yMode val="edge"/>
          <c:x val="6.9743755133601495E-2"/>
          <c:y val="0.20442363623465987"/>
          <c:w val="0.88771391607261951"/>
          <c:h val="0.5543978471419112"/>
        </c:manualLayout>
      </c:layout>
      <c:lineChart>
        <c:grouping val="standard"/>
        <c:varyColors val="0"/>
        <c:ser>
          <c:idx val="0"/>
          <c:order val="0"/>
          <c:tx>
            <c:strRef>
              <c:f>'Cuadro 1971 - 1989'!$H$6</c:f>
              <c:strCache>
                <c:ptCount val="1"/>
                <c:pt idx="0">
                  <c:v>Actual GDP</c:v>
                </c:pt>
              </c:strCache>
            </c:strRef>
          </c:tx>
          <c:marker>
            <c:symbol val="none"/>
          </c:marker>
          <c:dLbls>
            <c:dLbl>
              <c:idx val="4"/>
              <c:layout>
                <c:manualLayout>
                  <c:x val="-3.7629350893697164E-2"/>
                  <c:y val="5.1530458300166213E-2"/>
                </c:manualLayout>
              </c:layout>
              <c:tx>
                <c:rich>
                  <a:bodyPr/>
                  <a:lstStyle/>
                  <a:p>
                    <a:r>
                      <a:rPr lang="en-US"/>
                      <a:t>GAP</a:t>
                    </a:r>
                    <a:r>
                      <a:rPr lang="en-US" baseline="0"/>
                      <a:t> 1975=21% of GDP</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5.6444026340545829E-2"/>
                  <c:y val="5.6575795512976965E-2"/>
                </c:manualLayout>
              </c:layout>
              <c:tx>
                <c:rich>
                  <a:bodyPr/>
                  <a:lstStyle/>
                  <a:p>
                    <a:r>
                      <a:rPr lang="en-US"/>
                      <a:t>GAP 1983=20% of GDP</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'Cuadro 1971 - 1989'!$G$7:$G$25</c:f>
              <c:numCache>
                <c:formatCode>General</c:formatCode>
                <c:ptCount val="19"/>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numCache>
            </c:numRef>
          </c:cat>
          <c:val>
            <c:numRef>
              <c:f>'Cuadro 1971 - 1989'!$H$7:$H$25</c:f>
              <c:numCache>
                <c:formatCode>#,##0.00</c:formatCode>
                <c:ptCount val="19"/>
                <c:pt idx="0">
                  <c:v>94.698433837512354</c:v>
                </c:pt>
                <c:pt idx="1">
                  <c:v>94.690352071495695</c:v>
                </c:pt>
                <c:pt idx="2">
                  <c:v>94.457417528369902</c:v>
                </c:pt>
                <c:pt idx="3">
                  <c:v>94.761407714901409</c:v>
                </c:pt>
                <c:pt idx="4">
                  <c:v>93.722848279076388</c:v>
                </c:pt>
                <c:pt idx="5">
                  <c:v>93.957748141114251</c:v>
                </c:pt>
                <c:pt idx="6">
                  <c:v>94.422609086711631</c:v>
                </c:pt>
                <c:pt idx="7">
                  <c:v>94.768903938570872</c:v>
                </c:pt>
                <c:pt idx="8">
                  <c:v>95.19389644672394</c:v>
                </c:pt>
                <c:pt idx="9">
                  <c:v>95.518519775187727</c:v>
                </c:pt>
                <c:pt idx="10">
                  <c:v>95.802423153577678</c:v>
                </c:pt>
                <c:pt idx="11">
                  <c:v>94.955749829549418</c:v>
                </c:pt>
                <c:pt idx="12">
                  <c:v>94.934302474003402</c:v>
                </c:pt>
                <c:pt idx="13">
                  <c:v>95.379562093236359</c:v>
                </c:pt>
                <c:pt idx="14">
                  <c:v>95.452555416555967</c:v>
                </c:pt>
                <c:pt idx="15">
                  <c:v>95.767113814756385</c:v>
                </c:pt>
                <c:pt idx="16">
                  <c:v>96.131879895081227</c:v>
                </c:pt>
                <c:pt idx="17">
                  <c:v>96.534939337919383</c:v>
                </c:pt>
                <c:pt idx="18">
                  <c:v>97.10836866894067</c:v>
                </c:pt>
              </c:numCache>
            </c:numRef>
          </c:val>
          <c:smooth val="0"/>
        </c:ser>
        <c:ser>
          <c:idx val="1"/>
          <c:order val="1"/>
          <c:tx>
            <c:strRef>
              <c:f>'Cuadro 1971 - 1989'!$I$6</c:f>
              <c:strCache>
                <c:ptCount val="1"/>
                <c:pt idx="0">
                  <c:v>Potencial GDP</c:v>
                </c:pt>
              </c:strCache>
            </c:strRef>
          </c:tx>
          <c:marker>
            <c:symbol val="none"/>
          </c:marker>
          <c:cat>
            <c:numRef>
              <c:f>'Cuadro 1971 - 1989'!$G$7:$G$25</c:f>
              <c:numCache>
                <c:formatCode>General</c:formatCode>
                <c:ptCount val="19"/>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numCache>
            </c:numRef>
          </c:cat>
          <c:val>
            <c:numRef>
              <c:f>'Cuadro 1971 - 1989'!$I$7:$I$25</c:f>
              <c:numCache>
                <c:formatCode>#,##0.00</c:formatCode>
                <c:ptCount val="19"/>
                <c:pt idx="0">
                  <c:v>94.75584135697747</c:v>
                </c:pt>
                <c:pt idx="1">
                  <c:v>94.842780458102908</c:v>
                </c:pt>
                <c:pt idx="2">
                  <c:v>94.891737615682558</c:v>
                </c:pt>
                <c:pt idx="3">
                  <c:v>94.935390711296279</c:v>
                </c:pt>
                <c:pt idx="4">
                  <c:v>95.087831520176508</c:v>
                </c:pt>
                <c:pt idx="5">
                  <c:v>95.188978330991247</c:v>
                </c:pt>
                <c:pt idx="6">
                  <c:v>95.238378851544553</c:v>
                </c:pt>
                <c:pt idx="7">
                  <c:v>95.308285553153837</c:v>
                </c:pt>
                <c:pt idx="8">
                  <c:v>95.4120714413786</c:v>
                </c:pt>
                <c:pt idx="9">
                  <c:v>95.550399948080241</c:v>
                </c:pt>
                <c:pt idx="10">
                  <c:v>95.745586862685158</c:v>
                </c:pt>
                <c:pt idx="11">
                  <c:v>96.107137640505698</c:v>
                </c:pt>
                <c:pt idx="12">
                  <c:v>96.238068745032493</c:v>
                </c:pt>
                <c:pt idx="13">
                  <c:v>96.304187328187382</c:v>
                </c:pt>
                <c:pt idx="14">
                  <c:v>96.4068878620064</c:v>
                </c:pt>
                <c:pt idx="15">
                  <c:v>96.544708565460255</c:v>
                </c:pt>
                <c:pt idx="16">
                  <c:v>96.673118298130788</c:v>
                </c:pt>
                <c:pt idx="17">
                  <c:v>96.870444719907056</c:v>
                </c:pt>
                <c:pt idx="18">
                  <c:v>97.10836866894067</c:v>
                </c:pt>
              </c:numCache>
            </c:numRef>
          </c:val>
          <c:smooth val="0"/>
        </c:ser>
        <c:dLbls>
          <c:showLegendKey val="0"/>
          <c:showVal val="0"/>
          <c:showCatName val="0"/>
          <c:showSerName val="0"/>
          <c:showPercent val="0"/>
          <c:showBubbleSize val="0"/>
        </c:dLbls>
        <c:smooth val="0"/>
        <c:axId val="316067664"/>
        <c:axId val="316068056"/>
      </c:lineChart>
      <c:catAx>
        <c:axId val="316067664"/>
        <c:scaling>
          <c:orientation val="minMax"/>
        </c:scaling>
        <c:delete val="0"/>
        <c:axPos val="b"/>
        <c:numFmt formatCode="General" sourceLinked="1"/>
        <c:majorTickMark val="out"/>
        <c:minorTickMark val="none"/>
        <c:tickLblPos val="nextTo"/>
        <c:txPr>
          <a:bodyPr rot="-5400000" vert="horz"/>
          <a:lstStyle/>
          <a:p>
            <a:pPr>
              <a:defRPr lang="es-ES"/>
            </a:pPr>
            <a:endParaRPr lang="es-CL"/>
          </a:p>
        </c:txPr>
        <c:crossAx val="316068056"/>
        <c:crosses val="autoZero"/>
        <c:auto val="1"/>
        <c:lblAlgn val="ctr"/>
        <c:lblOffset val="100"/>
        <c:noMultiLvlLbl val="0"/>
      </c:catAx>
      <c:valAx>
        <c:axId val="316068056"/>
        <c:scaling>
          <c:orientation val="minMax"/>
        </c:scaling>
        <c:delete val="0"/>
        <c:axPos val="l"/>
        <c:majorGridlines/>
        <c:numFmt formatCode="#,##0.00" sourceLinked="1"/>
        <c:majorTickMark val="out"/>
        <c:minorTickMark val="none"/>
        <c:tickLblPos val="nextTo"/>
        <c:txPr>
          <a:bodyPr/>
          <a:lstStyle/>
          <a:p>
            <a:pPr>
              <a:defRPr lang="es-ES"/>
            </a:pPr>
            <a:endParaRPr lang="es-CL"/>
          </a:p>
        </c:txPr>
        <c:crossAx val="316067664"/>
        <c:crosses val="autoZero"/>
        <c:crossBetween val="between"/>
      </c:valAx>
    </c:plotArea>
    <c:legend>
      <c:legendPos val="r"/>
      <c:layout>
        <c:manualLayout>
          <c:xMode val="edge"/>
          <c:yMode val="edge"/>
          <c:x val="0.26636776513028992"/>
          <c:y val="0.86659317585301843"/>
          <c:w val="0.37361419479350638"/>
          <c:h val="0.13032730368163439"/>
        </c:manualLayout>
      </c:layout>
      <c:overlay val="0"/>
      <c:txPr>
        <a:bodyPr/>
        <a:lstStyle/>
        <a:p>
          <a:pPr>
            <a:defRPr lang="es-ES"/>
          </a:pPr>
          <a:endParaRPr lang="es-CL"/>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3EBC1-1F29-453D-B15F-5FA36433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7418</Words>
  <Characters>40801</Characters>
  <Application>Microsoft Office Word</Application>
  <DocSecurity>0</DocSecurity>
  <Lines>340</Lines>
  <Paragraphs>96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Facultad de Economía y Negocios</Company>
  <LinksUpToDate>false</LinksUpToDate>
  <CharactersWithSpaces>48123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Chile</dc:creator>
  <cp:lastModifiedBy>Cynthia Lamoen</cp:lastModifiedBy>
  <cp:revision>2</cp:revision>
  <cp:lastPrinted>2014-10-24T15:51:00Z</cp:lastPrinted>
  <dcterms:created xsi:type="dcterms:W3CDTF">2015-04-15T15:30:00Z</dcterms:created>
  <dcterms:modified xsi:type="dcterms:W3CDTF">2015-04-15T15:30:00Z</dcterms:modified>
</cp:coreProperties>
</file>